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A" w:rsidRDefault="0088605A">
      <w:pPr>
        <w:jc w:val="right"/>
        <w:rPr>
          <w:bCs/>
          <w:sz w:val="26"/>
          <w:szCs w:val="26"/>
        </w:rPr>
      </w:pPr>
    </w:p>
    <w:p w:rsidR="0088605A" w:rsidRDefault="0088605A">
      <w:pPr>
        <w:jc w:val="right"/>
        <w:rPr>
          <w:bCs/>
          <w:sz w:val="26"/>
          <w:szCs w:val="26"/>
        </w:rPr>
      </w:pPr>
    </w:p>
    <w:p w:rsidR="0088605A" w:rsidRDefault="00DB30B8">
      <w:pPr>
        <w:autoSpaceDE w:val="0"/>
        <w:autoSpaceDN w:val="0"/>
        <w:adjustRightInd w:val="0"/>
        <w:jc w:val="right"/>
      </w:pPr>
      <w:r>
        <w:t>Приложение № 5</w:t>
      </w:r>
    </w:p>
    <w:p w:rsidR="0088605A" w:rsidRDefault="00DB30B8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88605A" w:rsidRDefault="0088605A">
      <w:pPr>
        <w:autoSpaceDE w:val="0"/>
        <w:autoSpaceDN w:val="0"/>
        <w:adjustRightInd w:val="0"/>
        <w:jc w:val="right"/>
      </w:pPr>
    </w:p>
    <w:p w:rsidR="0088605A" w:rsidRDefault="00DB30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Подпрограмма №5 </w:t>
      </w:r>
      <w:r>
        <w:rPr>
          <w:b/>
        </w:rPr>
        <w:t>«Поддержка семьи и детства</w:t>
      </w:r>
      <w:r>
        <w:rPr>
          <w:b/>
          <w:sz w:val="26"/>
          <w:szCs w:val="26"/>
        </w:rPr>
        <w:t xml:space="preserve"> в Алагирском муниципальном районе на 2024-2026 годы»</w:t>
      </w:r>
    </w:p>
    <w:p w:rsidR="0088605A" w:rsidRDefault="00DB30B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 далее - подпрограмма №5)</w:t>
      </w:r>
    </w:p>
    <w:p w:rsidR="0088605A" w:rsidRDefault="0088605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8605A" w:rsidRDefault="00DB30B8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Cs/>
          <w:sz w:val="26"/>
          <w:szCs w:val="26"/>
        </w:rPr>
        <w:t>Паспорт  подпрограммы  №5</w:t>
      </w:r>
    </w:p>
    <w:p w:rsidR="0088605A" w:rsidRDefault="008860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087"/>
        <w:gridCol w:w="5905"/>
      </w:tblGrid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 xml:space="preserve">1. 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Наименование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t>«Поддержка семьи и детства</w:t>
            </w:r>
            <w:r>
              <w:rPr>
                <w:sz w:val="26"/>
                <w:szCs w:val="26"/>
              </w:rPr>
              <w:t xml:space="preserve"> в Алагирском муниципальном районе на 2024-2026 годы»</w:t>
            </w:r>
          </w:p>
          <w:p w:rsidR="0088605A" w:rsidRDefault="0088605A">
            <w:pPr>
              <w:jc w:val="both"/>
            </w:pPr>
          </w:p>
        </w:tc>
      </w:tr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2.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Основание для разработки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 </w:t>
            </w:r>
            <w:proofErr w:type="gramEnd"/>
          </w:p>
          <w:p w:rsidR="0088605A" w:rsidRDefault="0088605A">
            <w:pPr>
              <w:jc w:val="both"/>
            </w:pPr>
          </w:p>
        </w:tc>
      </w:tr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3.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Разработчик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4.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  <w:rPr>
                <w:bCs/>
                <w:sz w:val="26"/>
                <w:szCs w:val="26"/>
              </w:rPr>
            </w:pPr>
            <w:r>
              <w:t xml:space="preserve">Ответственный исполнитель  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  <w:p w:rsidR="00C46DF6" w:rsidRDefault="00C46DF6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t xml:space="preserve">Управление образования  администрации  местного самоуправления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района</w:t>
            </w:r>
          </w:p>
        </w:tc>
      </w:tr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5.</w:t>
            </w:r>
          </w:p>
        </w:tc>
        <w:tc>
          <w:tcPr>
            <w:tcW w:w="3087" w:type="dxa"/>
          </w:tcPr>
          <w:p w:rsidR="0088605A" w:rsidRDefault="00DB30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widowControl w:val="0"/>
              <w:autoSpaceDE w:val="0"/>
              <w:autoSpaceDN w:val="0"/>
              <w:adjustRightInd w:val="0"/>
            </w:pPr>
            <w:r>
              <w:t>Муниципальные образовательные учреждения, реализующие основную общеобразовательную программу дошкольного образования;</w:t>
            </w:r>
          </w:p>
          <w:p w:rsidR="00C46DF6" w:rsidRDefault="00C46DF6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</w:p>
        </w:tc>
      </w:tr>
      <w:tr w:rsidR="0088605A">
        <w:trPr>
          <w:trHeight w:val="682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6.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Участники 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widowControl w:val="0"/>
              <w:autoSpaceDE w:val="0"/>
              <w:autoSpaceDN w:val="0"/>
              <w:adjustRightInd w:val="0"/>
            </w:pPr>
            <w:r>
              <w:t>Муниципальные образовательные учреждения, реализующие основную общеобразовательную программу дошкольного образования;</w:t>
            </w:r>
          </w:p>
          <w:p w:rsidR="00C46DF6" w:rsidRDefault="00C46DF6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</w:p>
        </w:tc>
      </w:tr>
      <w:tr w:rsidR="0088605A">
        <w:trPr>
          <w:trHeight w:val="4513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7.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Цели и основные задачи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t>-создание условий для реализации прав детей и их родителей (законных представителей) на государственную поддержку в виде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образования;</w:t>
            </w:r>
          </w:p>
          <w:p w:rsidR="0088605A" w:rsidRDefault="00DB30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предоставления мер государственной поддержки гражданам, имеющим детей, путем реализации переданного государственного полномочия по выплате компенсации части родительской платы за присмотр и уход за ребёнком в муниципальных образовательных организациях, реализующих основную образовательную программу дошкольного образования</w:t>
            </w:r>
          </w:p>
          <w:p w:rsidR="00C46DF6" w:rsidRDefault="00C46D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5A">
        <w:trPr>
          <w:trHeight w:val="90"/>
        </w:trPr>
        <w:tc>
          <w:tcPr>
            <w:tcW w:w="613" w:type="dxa"/>
          </w:tcPr>
          <w:p w:rsidR="0088605A" w:rsidRDefault="00DB30B8">
            <w:pPr>
              <w:jc w:val="center"/>
            </w:pPr>
            <w:r>
              <w:t>8.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Целевые индикаторы  и показатели 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получателей, имеющих право на компенсацию части родительской платы за присмотр и уход за детьми</w:t>
            </w:r>
          </w:p>
          <w:p w:rsidR="00D73633" w:rsidRDefault="00D7363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5A">
        <w:tc>
          <w:tcPr>
            <w:tcW w:w="613" w:type="dxa"/>
          </w:tcPr>
          <w:p w:rsidR="0088605A" w:rsidRDefault="00DB30B8">
            <w:pPr>
              <w:jc w:val="center"/>
            </w:pPr>
            <w:r>
              <w:t>9.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Этапы и сроки реализации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  <w:p w:rsidR="0088605A" w:rsidRDefault="0088605A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t xml:space="preserve">Подпрограмма №5 реализуется в один этап. Срок реализации  подпрограммы </w:t>
            </w:r>
            <w:r>
              <w:rPr>
                <w:bCs/>
                <w:sz w:val="26"/>
                <w:szCs w:val="26"/>
              </w:rPr>
              <w:t>№5</w:t>
            </w:r>
            <w:r>
              <w:t>: 2024 – 2026 годы</w:t>
            </w:r>
          </w:p>
          <w:p w:rsidR="0088605A" w:rsidRDefault="0088605A">
            <w:pPr>
              <w:jc w:val="both"/>
            </w:pPr>
          </w:p>
        </w:tc>
      </w:tr>
      <w:tr w:rsidR="0088605A">
        <w:tc>
          <w:tcPr>
            <w:tcW w:w="613" w:type="dxa"/>
            <w:vMerge w:val="restart"/>
          </w:tcPr>
          <w:p w:rsidR="0088605A" w:rsidRDefault="00DB30B8">
            <w:pPr>
              <w:jc w:val="center"/>
            </w:pPr>
            <w:r>
              <w:t>10.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  <w:rPr>
                <w:b/>
              </w:rPr>
            </w:pPr>
            <w:r>
              <w:t xml:space="preserve">Объемы и источники финансирования </w:t>
            </w:r>
            <w:r>
              <w:lastRenderedPageBreak/>
              <w:t xml:space="preserve">подпрограммы </w:t>
            </w:r>
            <w:r>
              <w:rPr>
                <w:bCs/>
                <w:sz w:val="26"/>
                <w:szCs w:val="26"/>
              </w:rPr>
              <w:t xml:space="preserve">№5 </w:t>
            </w:r>
            <w:r>
              <w:t xml:space="preserve">(тысяч руб.) </w:t>
            </w:r>
            <w:r>
              <w:rPr>
                <w:b/>
              </w:rPr>
              <w:t>на 2024 год</w:t>
            </w:r>
          </w:p>
          <w:p w:rsidR="0088605A" w:rsidRDefault="00DB30B8">
            <w:pPr>
              <w:jc w:val="both"/>
            </w:pPr>
            <w:r>
              <w:t>в том числе:</w:t>
            </w:r>
          </w:p>
          <w:p w:rsidR="00C46DF6" w:rsidRDefault="00C46DF6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rPr>
                <w:lang w:eastAsia="en-US"/>
              </w:rPr>
              <w:lastRenderedPageBreak/>
              <w:t xml:space="preserve">Всего -  3200,0 тыс. руб., </w:t>
            </w:r>
          </w:p>
        </w:tc>
      </w:tr>
      <w:tr w:rsidR="0088605A">
        <w:tc>
          <w:tcPr>
            <w:tcW w:w="613" w:type="dxa"/>
            <w:vMerge/>
          </w:tcPr>
          <w:p w:rsidR="0088605A" w:rsidRDefault="0088605A">
            <w:pPr>
              <w:jc w:val="center"/>
            </w:pP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>- за счет республиканского бюджета (тыс. руб.)</w:t>
            </w:r>
          </w:p>
          <w:p w:rsidR="00C46DF6" w:rsidRDefault="00C46DF6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3200,0 тыс. руб.</w:t>
            </w:r>
          </w:p>
          <w:p w:rsidR="0088605A" w:rsidRDefault="0088605A">
            <w:pPr>
              <w:jc w:val="both"/>
              <w:rPr>
                <w:lang w:eastAsia="en-US"/>
              </w:rPr>
            </w:pPr>
          </w:p>
        </w:tc>
      </w:tr>
      <w:tr w:rsidR="0088605A">
        <w:tc>
          <w:tcPr>
            <w:tcW w:w="613" w:type="dxa"/>
            <w:vMerge w:val="restart"/>
          </w:tcPr>
          <w:p w:rsidR="0088605A" w:rsidRDefault="00DB30B8">
            <w:pPr>
              <w:jc w:val="center"/>
            </w:pPr>
            <w:r>
              <w:t>11.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  <w:rPr>
                <w:b/>
              </w:rPr>
            </w:pPr>
            <w:r>
              <w:t xml:space="preserve">Объемы и источники финансирования  подпрограммы </w:t>
            </w:r>
            <w:r>
              <w:rPr>
                <w:bCs/>
                <w:sz w:val="26"/>
                <w:szCs w:val="26"/>
              </w:rPr>
              <w:t>№5</w:t>
            </w:r>
            <w:r>
              <w:t xml:space="preserve"> (тысяч руб.) </w:t>
            </w:r>
            <w:r>
              <w:rPr>
                <w:b/>
              </w:rPr>
              <w:t>на 2025 год</w:t>
            </w:r>
          </w:p>
          <w:p w:rsidR="0088605A" w:rsidRDefault="00DB30B8">
            <w:pPr>
              <w:jc w:val="both"/>
            </w:pPr>
            <w:r>
              <w:t>в том числе:</w:t>
            </w:r>
          </w:p>
          <w:p w:rsidR="00C46DF6" w:rsidRDefault="00C46DF6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rPr>
                <w:lang w:eastAsia="en-US"/>
              </w:rPr>
              <w:t xml:space="preserve">Всего -  3200,0 тыс. руб., </w:t>
            </w:r>
          </w:p>
        </w:tc>
      </w:tr>
      <w:tr w:rsidR="0088605A">
        <w:tc>
          <w:tcPr>
            <w:tcW w:w="613" w:type="dxa"/>
            <w:vMerge/>
          </w:tcPr>
          <w:p w:rsidR="0088605A" w:rsidRDefault="0088605A">
            <w:pPr>
              <w:jc w:val="center"/>
            </w:pP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>- за счет республиканского бюджета (тыс. руб.)</w:t>
            </w:r>
          </w:p>
          <w:p w:rsidR="00D73633" w:rsidRDefault="00D73633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3200,0 тыс. руб.</w:t>
            </w:r>
          </w:p>
          <w:p w:rsidR="0088605A" w:rsidRDefault="0088605A">
            <w:pPr>
              <w:jc w:val="both"/>
              <w:rPr>
                <w:lang w:eastAsia="en-US"/>
              </w:rPr>
            </w:pPr>
          </w:p>
        </w:tc>
      </w:tr>
      <w:tr w:rsidR="0088605A">
        <w:tc>
          <w:tcPr>
            <w:tcW w:w="613" w:type="dxa"/>
            <w:vMerge w:val="restart"/>
          </w:tcPr>
          <w:p w:rsidR="0088605A" w:rsidRDefault="00DB30B8">
            <w:pPr>
              <w:jc w:val="center"/>
            </w:pPr>
            <w:r>
              <w:t>12.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 </w:t>
            </w:r>
            <w:r>
              <w:rPr>
                <w:bCs/>
                <w:sz w:val="26"/>
                <w:szCs w:val="26"/>
              </w:rPr>
              <w:t xml:space="preserve">№5 </w:t>
            </w:r>
            <w:r>
              <w:t xml:space="preserve">(тысяч руб.) </w:t>
            </w:r>
            <w:r>
              <w:rPr>
                <w:b/>
              </w:rPr>
              <w:t>на 2026 год</w:t>
            </w:r>
          </w:p>
          <w:p w:rsidR="0088605A" w:rsidRDefault="00DB30B8">
            <w:pPr>
              <w:jc w:val="both"/>
            </w:pPr>
            <w:r>
              <w:t>в том числе:</w:t>
            </w:r>
          </w:p>
          <w:p w:rsidR="00C46DF6" w:rsidRDefault="00C46DF6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</w:pPr>
            <w:r>
              <w:rPr>
                <w:lang w:eastAsia="en-US"/>
              </w:rPr>
              <w:t xml:space="preserve">Всего -  3200,0 тыс. руб., </w:t>
            </w:r>
          </w:p>
        </w:tc>
      </w:tr>
      <w:tr w:rsidR="0088605A">
        <w:tc>
          <w:tcPr>
            <w:tcW w:w="613" w:type="dxa"/>
            <w:vMerge/>
          </w:tcPr>
          <w:p w:rsidR="0088605A" w:rsidRDefault="0088605A">
            <w:pPr>
              <w:jc w:val="center"/>
            </w:pP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>- за счет республиканского бюджета (тыс. руб.)</w:t>
            </w:r>
          </w:p>
          <w:p w:rsidR="00D73633" w:rsidRDefault="00D73633">
            <w:pPr>
              <w:jc w:val="both"/>
            </w:pPr>
          </w:p>
        </w:tc>
        <w:tc>
          <w:tcPr>
            <w:tcW w:w="5905" w:type="dxa"/>
          </w:tcPr>
          <w:p w:rsidR="0088605A" w:rsidRDefault="00DB3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3200,0 тыс. руб.</w:t>
            </w:r>
          </w:p>
          <w:p w:rsidR="0088605A" w:rsidRDefault="0088605A">
            <w:pPr>
              <w:jc w:val="both"/>
              <w:rPr>
                <w:lang w:eastAsia="en-US"/>
              </w:rPr>
            </w:pPr>
          </w:p>
        </w:tc>
      </w:tr>
      <w:tr w:rsidR="0088605A">
        <w:tc>
          <w:tcPr>
            <w:tcW w:w="613" w:type="dxa"/>
          </w:tcPr>
          <w:p w:rsidR="0088605A" w:rsidRDefault="00DB30B8">
            <w:pPr>
              <w:jc w:val="center"/>
            </w:pPr>
            <w:r>
              <w:t>13.</w:t>
            </w:r>
          </w:p>
        </w:tc>
        <w:tc>
          <w:tcPr>
            <w:tcW w:w="3087" w:type="dxa"/>
          </w:tcPr>
          <w:p w:rsidR="0088605A" w:rsidRDefault="00DB30B8">
            <w:pPr>
              <w:jc w:val="both"/>
            </w:pPr>
            <w:r>
              <w:t xml:space="preserve">Ожидаемые конечные  результаты реализации  подпрограммы </w:t>
            </w: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905" w:type="dxa"/>
          </w:tcPr>
          <w:p w:rsidR="0088605A" w:rsidRDefault="00DB30B8">
            <w:pPr>
              <w:tabs>
                <w:tab w:val="left" w:pos="6930"/>
              </w:tabs>
              <w:jc w:val="both"/>
            </w:pPr>
            <w:r>
              <w:t>Увеличение количества получателей, имеющих право на компенсацию части родительской платы за присмотр и уход за детьми до 590 получателей в год.</w:t>
            </w:r>
          </w:p>
          <w:p w:rsidR="0088605A" w:rsidRDefault="0088605A">
            <w:pPr>
              <w:jc w:val="both"/>
            </w:pPr>
          </w:p>
        </w:tc>
      </w:tr>
    </w:tbl>
    <w:p w:rsidR="0088605A" w:rsidRDefault="008860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605A" w:rsidRDefault="00886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633" w:rsidRDefault="00D73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05A" w:rsidRDefault="00DB30B8" w:rsidP="00D7363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Характеристика сферы реализации подпрограммы </w:t>
      </w:r>
      <w:r>
        <w:rPr>
          <w:bCs/>
          <w:sz w:val="26"/>
          <w:szCs w:val="26"/>
        </w:rPr>
        <w:t xml:space="preserve">  </w:t>
      </w:r>
      <w:r w:rsidR="00D73633">
        <w:rPr>
          <w:b/>
          <w:sz w:val="26"/>
          <w:szCs w:val="26"/>
        </w:rPr>
        <w:t>№5</w:t>
      </w:r>
    </w:p>
    <w:p w:rsidR="0088605A" w:rsidRDefault="0088605A">
      <w:pPr>
        <w:jc w:val="both"/>
        <w:rPr>
          <w:b/>
          <w:bCs/>
        </w:rPr>
      </w:pP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bookmarkStart w:id="0" w:name="Par3202"/>
      <w:bookmarkEnd w:id="0"/>
      <w:r w:rsidRPr="00C46DF6">
        <w:rPr>
          <w:sz w:val="26"/>
          <w:szCs w:val="26"/>
        </w:rPr>
        <w:t>Социальная поддержка семьи и детей является важным направлением государственной семейной политики.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 xml:space="preserve">В Алагирском муниципальном  районе в соответствии с национальными приоритетами проводится последовательная работа по реализации и обеспечению государственных гарантий по созданию условий для полноценного развития и воспитания подрастающего поколения. Существенной поддержкой семей с детьми является выплата государственных пособий гражданам: выплата компенсации части родительской платы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образования, осуществляющих присмотр и уход за детьми. </w:t>
      </w:r>
    </w:p>
    <w:p w:rsidR="0088605A" w:rsidRPr="00C46DF6" w:rsidRDefault="00DB30B8">
      <w:pPr>
        <w:pStyle w:val="ConsPlusNormal"/>
        <w:widowControl/>
        <w:numPr>
          <w:ilvl w:val="0"/>
          <w:numId w:val="2"/>
        </w:numPr>
        <w:ind w:left="0" w:firstLine="431"/>
        <w:jc w:val="both"/>
        <w:rPr>
          <w:rFonts w:ascii="Times New Roman" w:hAnsi="Times New Roman" w:cs="Times New Roman"/>
          <w:sz w:val="26"/>
          <w:szCs w:val="26"/>
        </w:rPr>
      </w:pPr>
      <w:r w:rsidRPr="00C46DF6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местного самоуправления </w:t>
      </w:r>
      <w:proofErr w:type="spellStart"/>
      <w:r w:rsidRPr="00C46DF6"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 w:rsidRPr="00C46DF6">
        <w:rPr>
          <w:rFonts w:ascii="Times New Roman" w:hAnsi="Times New Roman" w:cs="Times New Roman"/>
          <w:sz w:val="26"/>
          <w:szCs w:val="26"/>
        </w:rPr>
        <w:t xml:space="preserve"> района  от 01.02.2016 г. № 45 «Об установлении родительской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дошкольного образования» ежеквартально выплачивается компенсация из бюджета РСО-Алания в размере: 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 xml:space="preserve">- на первого ребёнка 20 процентов размера внесённой ими родительской платы; 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 xml:space="preserve">- на второго - 50 процентов; 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>- на третьего и последующих - 70 процентов.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>За 2023 год количество родителей, которые воспользовались компенсацией, составляет 560 получателей в год.</w:t>
      </w:r>
    </w:p>
    <w:p w:rsidR="0088605A" w:rsidRPr="00C46DF6" w:rsidRDefault="00DB30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  <w:rPr>
          <w:sz w:val="26"/>
          <w:szCs w:val="26"/>
        </w:rPr>
      </w:pPr>
      <w:r w:rsidRPr="00C46DF6">
        <w:rPr>
          <w:sz w:val="26"/>
          <w:szCs w:val="26"/>
        </w:rPr>
        <w:t>На 2026 год планируемое количество родителей, которые воспользуются компенсацией, составит 590 получателей в год.</w:t>
      </w:r>
    </w:p>
    <w:p w:rsidR="00D73633" w:rsidRDefault="00D7363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31"/>
        <w:jc w:val="both"/>
      </w:pPr>
    </w:p>
    <w:p w:rsidR="00D73633" w:rsidRDefault="00D73633" w:rsidP="00D736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73633" w:rsidRPr="00D73633" w:rsidRDefault="00D73633" w:rsidP="00D73633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63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D73633">
        <w:rPr>
          <w:rFonts w:ascii="Times New Roman" w:hAnsi="Times New Roman" w:cs="Times New Roman"/>
          <w:b/>
          <w:sz w:val="26"/>
          <w:szCs w:val="26"/>
        </w:rPr>
        <w:t xml:space="preserve">. Цели,  основные задачи, целевые индикаторы, этапы и сроки реализации, ресурсное обеспечение, ожидаемые результаты реализации </w:t>
      </w:r>
    </w:p>
    <w:p w:rsidR="00D73633" w:rsidRPr="00D73633" w:rsidRDefault="00D73633" w:rsidP="00D73633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633">
        <w:rPr>
          <w:rFonts w:ascii="Times New Roman" w:hAnsi="Times New Roman" w:cs="Times New Roman"/>
          <w:b/>
          <w:sz w:val="26"/>
          <w:szCs w:val="26"/>
        </w:rPr>
        <w:t>подпрограммы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736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3633" w:rsidRDefault="00D73633" w:rsidP="00C46DF6">
      <w:pPr>
        <w:pStyle w:val="1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6DF6" w:rsidRDefault="00C46DF6" w:rsidP="00C46DF6">
      <w:pPr>
        <w:pStyle w:val="1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>3.1</w:t>
      </w:r>
      <w:r w:rsidR="00C46DF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Pr="00125F89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Pr="00125F8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125F89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5</w:t>
      </w:r>
    </w:p>
    <w:p w:rsidR="00D73633" w:rsidRPr="00125F89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3633" w:rsidRDefault="00D73633" w:rsidP="00D73633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73633">
        <w:rPr>
          <w:rFonts w:ascii="Times New Roman" w:hAnsi="Times New Roman"/>
          <w:b/>
          <w:sz w:val="24"/>
          <w:szCs w:val="24"/>
        </w:rPr>
        <w:t xml:space="preserve"> </w:t>
      </w:r>
      <w:r w:rsidRPr="00D73633"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 w:rsidRPr="00D73633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Pr="00D73633">
        <w:rPr>
          <w:rFonts w:ascii="Times New Roman" w:hAnsi="Times New Roman"/>
          <w:bCs/>
          <w:sz w:val="24"/>
          <w:szCs w:val="24"/>
        </w:rPr>
        <w:t>№ 5 пр</w:t>
      </w:r>
      <w:r>
        <w:rPr>
          <w:rFonts w:ascii="Times New Roman" w:hAnsi="Times New Roman"/>
          <w:bCs/>
          <w:sz w:val="24"/>
          <w:szCs w:val="24"/>
        </w:rPr>
        <w:t xml:space="preserve">едставлены в пункте 7 Паспорта </w:t>
      </w:r>
      <w:r w:rsidRPr="00D73633">
        <w:rPr>
          <w:rFonts w:ascii="Times New Roman" w:hAnsi="Times New Roman"/>
          <w:bCs/>
          <w:sz w:val="24"/>
          <w:szCs w:val="24"/>
          <w:lang w:eastAsia="ru-RU"/>
        </w:rPr>
        <w:t>подпрограммы №5</w:t>
      </w:r>
    </w:p>
    <w:p w:rsidR="00C46DF6" w:rsidRDefault="00C46DF6" w:rsidP="00C46DF6">
      <w:pPr>
        <w:pStyle w:val="af3"/>
        <w:rPr>
          <w:rFonts w:ascii="Times New Roman" w:hAnsi="Times New Roman"/>
          <w:bCs/>
          <w:sz w:val="24"/>
          <w:szCs w:val="24"/>
        </w:rPr>
      </w:pPr>
    </w:p>
    <w:p w:rsidR="00C46DF6" w:rsidRPr="00D73633" w:rsidRDefault="00C46DF6" w:rsidP="00D73633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3.2</w:t>
      </w:r>
      <w:r w:rsidR="00C46DF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Целевые показатели и индикаторы реализации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:rsidR="00DB30B8" w:rsidRDefault="00DB30B8" w:rsidP="00DB30B8">
      <w:pPr>
        <w:pStyle w:val="af3"/>
        <w:rPr>
          <w:rFonts w:ascii="Times New Roman" w:hAnsi="Times New Roman"/>
          <w:b/>
          <w:bCs/>
          <w:sz w:val="26"/>
          <w:szCs w:val="26"/>
        </w:rPr>
      </w:pPr>
    </w:p>
    <w:p w:rsidR="00DB30B8" w:rsidRPr="00E46131" w:rsidRDefault="00DB30B8" w:rsidP="00D73633"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1292"/>
        <w:gridCol w:w="992"/>
        <w:gridCol w:w="992"/>
        <w:gridCol w:w="1276"/>
      </w:tblGrid>
      <w:tr w:rsidR="00DB30B8" w:rsidTr="00BB53E3">
        <w:tc>
          <w:tcPr>
            <w:tcW w:w="4804" w:type="dxa"/>
          </w:tcPr>
          <w:p w:rsidR="00DB30B8" w:rsidRDefault="00DB30B8" w:rsidP="00BB53E3">
            <w:pPr>
              <w:jc w:val="both"/>
            </w:pPr>
            <w:r>
              <w:t>Показатели результативности</w:t>
            </w:r>
          </w:p>
        </w:tc>
        <w:tc>
          <w:tcPr>
            <w:tcW w:w="1292" w:type="dxa"/>
          </w:tcPr>
          <w:p w:rsidR="00DB30B8" w:rsidRDefault="00DB30B8" w:rsidP="00BB53E3">
            <w:pPr>
              <w:jc w:val="center"/>
            </w:pPr>
            <w:r>
              <w:t>Единица</w:t>
            </w:r>
          </w:p>
          <w:p w:rsidR="00DB30B8" w:rsidRDefault="00DB30B8" w:rsidP="00BB53E3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DB30B8" w:rsidRDefault="00DB30B8" w:rsidP="00BB53E3">
            <w:pPr>
              <w:jc w:val="center"/>
            </w:pPr>
            <w:r>
              <w:t>2024 г.</w:t>
            </w:r>
          </w:p>
        </w:tc>
        <w:tc>
          <w:tcPr>
            <w:tcW w:w="992" w:type="dxa"/>
          </w:tcPr>
          <w:p w:rsidR="00DB30B8" w:rsidRDefault="00DB30B8" w:rsidP="00BB53E3">
            <w:pPr>
              <w:jc w:val="center"/>
            </w:pPr>
            <w:r>
              <w:t>2025 г.</w:t>
            </w:r>
          </w:p>
        </w:tc>
        <w:tc>
          <w:tcPr>
            <w:tcW w:w="1276" w:type="dxa"/>
          </w:tcPr>
          <w:p w:rsidR="00DB30B8" w:rsidRDefault="00DB30B8" w:rsidP="00BB53E3">
            <w:pPr>
              <w:jc w:val="center"/>
            </w:pPr>
            <w:r>
              <w:t>2026 г.</w:t>
            </w:r>
          </w:p>
        </w:tc>
      </w:tr>
      <w:tr w:rsidR="00DB30B8" w:rsidTr="00BB53E3">
        <w:tc>
          <w:tcPr>
            <w:tcW w:w="4804" w:type="dxa"/>
          </w:tcPr>
          <w:p w:rsidR="00DB30B8" w:rsidRDefault="00DB30B8" w:rsidP="00BB53E3">
            <w:pPr>
              <w:jc w:val="both"/>
            </w:pPr>
            <w:r>
              <w:t>Количество получателей, имеющих право на компенсацию части родительской платы за присмотр и уход за детьми</w:t>
            </w:r>
          </w:p>
          <w:p w:rsidR="00C46DF6" w:rsidRDefault="00C46DF6" w:rsidP="00BB53E3">
            <w:pPr>
              <w:jc w:val="both"/>
            </w:pPr>
            <w:bookmarkStart w:id="1" w:name="_GoBack"/>
            <w:bookmarkEnd w:id="1"/>
          </w:p>
        </w:tc>
        <w:tc>
          <w:tcPr>
            <w:tcW w:w="1292" w:type="dxa"/>
          </w:tcPr>
          <w:p w:rsidR="00DB30B8" w:rsidRDefault="00DB30B8" w:rsidP="00BB53E3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DB30B8" w:rsidRDefault="00DB30B8" w:rsidP="00BB53E3">
            <w:pPr>
              <w:jc w:val="center"/>
            </w:pPr>
            <w:r>
              <w:t>570</w:t>
            </w:r>
          </w:p>
        </w:tc>
        <w:tc>
          <w:tcPr>
            <w:tcW w:w="992" w:type="dxa"/>
          </w:tcPr>
          <w:p w:rsidR="00DB30B8" w:rsidRDefault="00DB30B8" w:rsidP="00BB53E3">
            <w:pPr>
              <w:jc w:val="center"/>
            </w:pPr>
            <w:r>
              <w:t>580</w:t>
            </w:r>
          </w:p>
        </w:tc>
        <w:tc>
          <w:tcPr>
            <w:tcW w:w="1276" w:type="dxa"/>
          </w:tcPr>
          <w:p w:rsidR="00DB30B8" w:rsidRDefault="00DB30B8" w:rsidP="00BB53E3">
            <w:pPr>
              <w:jc w:val="center"/>
            </w:pPr>
            <w:r>
              <w:t>590</w:t>
            </w:r>
          </w:p>
        </w:tc>
      </w:tr>
    </w:tbl>
    <w:p w:rsidR="00D73633" w:rsidRPr="00E46131" w:rsidRDefault="00D73633" w:rsidP="00DB30B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D73633" w:rsidRPr="00E46131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sz w:val="26"/>
          <w:szCs w:val="26"/>
          <w:lang w:eastAsia="ru-RU"/>
        </w:rPr>
        <w:t>3.3</w:t>
      </w:r>
      <w:r w:rsidR="00C46DF6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№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 № 5 </w:t>
      </w:r>
      <w:r>
        <w:rPr>
          <w:rFonts w:ascii="Times New Roman" w:hAnsi="Times New Roman"/>
          <w:bCs/>
          <w:sz w:val="24"/>
          <w:szCs w:val="24"/>
        </w:rPr>
        <w:t xml:space="preserve">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>подпрограммы №5</w:t>
      </w: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73633" w:rsidRPr="00E46131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3.4</w:t>
      </w:r>
      <w:r w:rsidR="00C46DF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Ресурсное обеспечение подпрограммы </w:t>
      </w:r>
      <w:r>
        <w:rPr>
          <w:rFonts w:ascii="Times New Roman" w:hAnsi="Times New Roman"/>
          <w:b/>
          <w:bCs/>
          <w:sz w:val="26"/>
          <w:szCs w:val="26"/>
        </w:rPr>
        <w:t xml:space="preserve"> №5</w:t>
      </w: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 №5 представлены в приложении №1 к    муниципальной  программе</w:t>
      </w:r>
    </w:p>
    <w:p w:rsidR="00C46DF6" w:rsidRDefault="00C46DF6" w:rsidP="00C46DF6">
      <w:pPr>
        <w:pStyle w:val="af3"/>
        <w:rPr>
          <w:rFonts w:ascii="Times New Roman" w:hAnsi="Times New Roman"/>
          <w:bCs/>
          <w:sz w:val="24"/>
          <w:szCs w:val="24"/>
        </w:rPr>
      </w:pPr>
    </w:p>
    <w:p w:rsidR="00C46DF6" w:rsidRDefault="00C46DF6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Pr="00E46131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3.5</w:t>
      </w:r>
      <w:r w:rsidRPr="00E46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46DF6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6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№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 5  представлены в пункте 13 к  Паспорту  </w:t>
      </w:r>
      <w:r w:rsidR="00DB30B8">
        <w:rPr>
          <w:rFonts w:ascii="Times New Roman" w:hAnsi="Times New Roman"/>
          <w:bCs/>
          <w:sz w:val="24"/>
          <w:szCs w:val="24"/>
        </w:rPr>
        <w:t>подпрограммы №5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73633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Pr="00D73633" w:rsidRDefault="00D73633" w:rsidP="00D73633">
      <w:pPr>
        <w:pStyle w:val="af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D73633">
        <w:rPr>
          <w:sz w:val="26"/>
          <w:szCs w:val="26"/>
        </w:rPr>
        <w:t xml:space="preserve">        </w:t>
      </w:r>
    </w:p>
    <w:p w:rsidR="00D73633" w:rsidRPr="00DB30B8" w:rsidRDefault="00D73633" w:rsidP="00D73633">
      <w:pPr>
        <w:pStyle w:val="af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30B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B30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30B8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   подпрограммы №5</w:t>
      </w:r>
    </w:p>
    <w:p w:rsidR="00D73633" w:rsidRPr="00DB30B8" w:rsidRDefault="00D73633" w:rsidP="00D73633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3633" w:rsidRPr="00DB30B8" w:rsidRDefault="00D73633" w:rsidP="00D73633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0B8">
        <w:rPr>
          <w:rFonts w:ascii="Times New Roman" w:hAnsi="Times New Roman" w:cs="Times New Roman"/>
          <w:bCs/>
          <w:sz w:val="26"/>
          <w:szCs w:val="26"/>
        </w:rPr>
        <w:t xml:space="preserve">       Механизм реализации    подпрограммы №5 представлен в пункте </w:t>
      </w:r>
      <w:r w:rsidRPr="00DB30B8">
        <w:rPr>
          <w:rFonts w:ascii="Times New Roman" w:hAnsi="Times New Roman" w:cs="Times New Roman"/>
          <w:sz w:val="26"/>
          <w:szCs w:val="26"/>
        </w:rPr>
        <w:t xml:space="preserve"> </w:t>
      </w:r>
      <w:r w:rsidRPr="00DB30B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B30B8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D73633" w:rsidRPr="00474387" w:rsidRDefault="00D73633" w:rsidP="00D73633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3633" w:rsidRPr="00D73633" w:rsidRDefault="00D73633" w:rsidP="00D73633">
      <w:pPr>
        <w:pStyle w:val="af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3633" w:rsidRPr="00D73633" w:rsidRDefault="00D73633" w:rsidP="00D73633">
      <w:pPr>
        <w:pStyle w:val="af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88605A" w:rsidRDefault="00DB30B8">
      <w:pPr>
        <w:tabs>
          <w:tab w:val="left" w:pos="7200"/>
        </w:tabs>
        <w:jc w:val="both"/>
      </w:pPr>
      <w:r>
        <w:tab/>
      </w:r>
    </w:p>
    <w:sectPr w:rsidR="0088605A" w:rsidSect="00D73633">
      <w:pgSz w:w="11906" w:h="16838"/>
      <w:pgMar w:top="426" w:right="851" w:bottom="709" w:left="1418" w:header="426" w:footer="709" w:gutter="0"/>
      <w:pgNumType w:start="3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5F61B8B"/>
    <w:multiLevelType w:val="singleLevel"/>
    <w:tmpl w:val="05F61B8B"/>
    <w:lvl w:ilvl="0">
      <w:start w:val="1"/>
      <w:numFmt w:val="upperRoman"/>
      <w:suff w:val="space"/>
      <w:lvlText w:val="%1."/>
      <w:lvlJc w:val="left"/>
    </w:lvl>
  </w:abstractNum>
  <w:abstractNum w:abstractNumId="2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265"/>
    <w:rsid w:val="000127D1"/>
    <w:rsid w:val="00014FC9"/>
    <w:rsid w:val="00041AB9"/>
    <w:rsid w:val="00063485"/>
    <w:rsid w:val="00072C64"/>
    <w:rsid w:val="000A3463"/>
    <w:rsid w:val="000D2820"/>
    <w:rsid w:val="000F7501"/>
    <w:rsid w:val="0015586E"/>
    <w:rsid w:val="0018654C"/>
    <w:rsid w:val="00195867"/>
    <w:rsid w:val="001E7176"/>
    <w:rsid w:val="001F4768"/>
    <w:rsid w:val="002639B3"/>
    <w:rsid w:val="00272C02"/>
    <w:rsid w:val="00285194"/>
    <w:rsid w:val="00292DBC"/>
    <w:rsid w:val="0029466F"/>
    <w:rsid w:val="002C1E37"/>
    <w:rsid w:val="002D43A6"/>
    <w:rsid w:val="002E4EED"/>
    <w:rsid w:val="00304B27"/>
    <w:rsid w:val="00345AA4"/>
    <w:rsid w:val="00355209"/>
    <w:rsid w:val="00393A15"/>
    <w:rsid w:val="00397DF1"/>
    <w:rsid w:val="003B4BA2"/>
    <w:rsid w:val="003C63F6"/>
    <w:rsid w:val="003D0237"/>
    <w:rsid w:val="003E1643"/>
    <w:rsid w:val="003F65D4"/>
    <w:rsid w:val="00482207"/>
    <w:rsid w:val="0049515E"/>
    <w:rsid w:val="004B7422"/>
    <w:rsid w:val="004E1D9A"/>
    <w:rsid w:val="004F3E7F"/>
    <w:rsid w:val="005424D4"/>
    <w:rsid w:val="00605084"/>
    <w:rsid w:val="00651C6D"/>
    <w:rsid w:val="00653F79"/>
    <w:rsid w:val="00675B5E"/>
    <w:rsid w:val="006A45DB"/>
    <w:rsid w:val="006B73F5"/>
    <w:rsid w:val="006C2F4E"/>
    <w:rsid w:val="00705963"/>
    <w:rsid w:val="00745F6A"/>
    <w:rsid w:val="0075587F"/>
    <w:rsid w:val="00774EE6"/>
    <w:rsid w:val="007A1D93"/>
    <w:rsid w:val="007B5233"/>
    <w:rsid w:val="007C04EA"/>
    <w:rsid w:val="008119D1"/>
    <w:rsid w:val="008277FA"/>
    <w:rsid w:val="00855072"/>
    <w:rsid w:val="0087454E"/>
    <w:rsid w:val="00876B06"/>
    <w:rsid w:val="0088605A"/>
    <w:rsid w:val="008B45DE"/>
    <w:rsid w:val="008B695D"/>
    <w:rsid w:val="008C00CB"/>
    <w:rsid w:val="008D0C65"/>
    <w:rsid w:val="008D261B"/>
    <w:rsid w:val="00922A5D"/>
    <w:rsid w:val="00943CCD"/>
    <w:rsid w:val="00983CD0"/>
    <w:rsid w:val="00986F07"/>
    <w:rsid w:val="00987C98"/>
    <w:rsid w:val="009A7980"/>
    <w:rsid w:val="00A0307E"/>
    <w:rsid w:val="00A21265"/>
    <w:rsid w:val="00A77F8C"/>
    <w:rsid w:val="00A94D10"/>
    <w:rsid w:val="00AC76D9"/>
    <w:rsid w:val="00AE1635"/>
    <w:rsid w:val="00AE4AEF"/>
    <w:rsid w:val="00B108CD"/>
    <w:rsid w:val="00B17B68"/>
    <w:rsid w:val="00B31B16"/>
    <w:rsid w:val="00B62FED"/>
    <w:rsid w:val="00B6683C"/>
    <w:rsid w:val="00BD1D6A"/>
    <w:rsid w:val="00BD3278"/>
    <w:rsid w:val="00BE7E4B"/>
    <w:rsid w:val="00C31817"/>
    <w:rsid w:val="00C3286C"/>
    <w:rsid w:val="00C46DF6"/>
    <w:rsid w:val="00C524C0"/>
    <w:rsid w:val="00C66C75"/>
    <w:rsid w:val="00CC399E"/>
    <w:rsid w:val="00CF6429"/>
    <w:rsid w:val="00D105A1"/>
    <w:rsid w:val="00D14540"/>
    <w:rsid w:val="00D67F22"/>
    <w:rsid w:val="00D73633"/>
    <w:rsid w:val="00D92212"/>
    <w:rsid w:val="00DB30B8"/>
    <w:rsid w:val="00DB4D5F"/>
    <w:rsid w:val="00DF1415"/>
    <w:rsid w:val="00E4675D"/>
    <w:rsid w:val="00EB0EA0"/>
    <w:rsid w:val="00EB5BB3"/>
    <w:rsid w:val="00F659DB"/>
    <w:rsid w:val="00F84FF4"/>
    <w:rsid w:val="00FA38F3"/>
    <w:rsid w:val="00FA4346"/>
    <w:rsid w:val="27EA5A98"/>
    <w:rsid w:val="55E8160C"/>
    <w:rsid w:val="66E34A5F"/>
    <w:rsid w:val="73F7301E"/>
    <w:rsid w:val="7B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paragraph" w:styleId="ac">
    <w:name w:val="header"/>
    <w:basedOn w:val="a"/>
    <w:link w:val="ad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Pr>
      <w:sz w:val="26"/>
      <w:szCs w:val="26"/>
      <w:lang w:bidi="ar-SA"/>
    </w:rPr>
  </w:style>
  <w:style w:type="character" w:customStyle="1" w:styleId="12">
    <w:name w:val="Основной текст + 12"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rPr>
      <w:sz w:val="28"/>
      <w:szCs w:val="28"/>
      <w:lang w:bidi="ar-SA"/>
    </w:rPr>
  </w:style>
  <w:style w:type="character" w:customStyle="1" w:styleId="14pt1">
    <w:name w:val="Основной текст + 14 pt1"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paragraph" w:customStyle="1" w:styleId="af4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341BA-5B9D-4A7D-B8AA-B49EE4D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74</cp:revision>
  <cp:lastPrinted>2023-11-13T20:37:00Z</cp:lastPrinted>
  <dcterms:created xsi:type="dcterms:W3CDTF">2020-10-20T08:10:00Z</dcterms:created>
  <dcterms:modified xsi:type="dcterms:W3CDTF">2023-11-17T09:06:00Z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559ACEFA67B44CD8B96A7FBABBF5919C_12</vt:lpwstr>
  </property>
</Properties>
</file>