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D1" w:rsidRDefault="008128A5">
      <w:pPr>
        <w:autoSpaceDE w:val="0"/>
        <w:autoSpaceDN w:val="0"/>
        <w:adjustRightInd w:val="0"/>
        <w:jc w:val="right"/>
      </w:pPr>
      <w:r>
        <w:t>Приложение № 4</w:t>
      </w:r>
    </w:p>
    <w:p w:rsidR="00F634D1" w:rsidRDefault="008128A5">
      <w:pPr>
        <w:autoSpaceDE w:val="0"/>
        <w:autoSpaceDN w:val="0"/>
        <w:adjustRightInd w:val="0"/>
        <w:jc w:val="right"/>
      </w:pPr>
      <w:r>
        <w:t xml:space="preserve">к муниципальной программе </w:t>
      </w:r>
    </w:p>
    <w:p w:rsidR="00F634D1" w:rsidRDefault="008128A5">
      <w:pPr>
        <w:autoSpaceDE w:val="0"/>
        <w:autoSpaceDN w:val="0"/>
        <w:adjustRightInd w:val="0"/>
        <w:jc w:val="right"/>
      </w:pPr>
      <w:r>
        <w:t xml:space="preserve"> </w:t>
      </w:r>
    </w:p>
    <w:p w:rsidR="00F634D1" w:rsidRDefault="00F634D1">
      <w:pPr>
        <w:autoSpaceDE w:val="0"/>
        <w:autoSpaceDN w:val="0"/>
        <w:adjustRightInd w:val="0"/>
        <w:jc w:val="right"/>
        <w:outlineLvl w:val="0"/>
      </w:pPr>
    </w:p>
    <w:p w:rsidR="00F634D1" w:rsidRDefault="00F634D1">
      <w:pPr>
        <w:autoSpaceDE w:val="0"/>
        <w:autoSpaceDN w:val="0"/>
        <w:adjustRightInd w:val="0"/>
        <w:jc w:val="right"/>
        <w:outlineLvl w:val="0"/>
      </w:pPr>
    </w:p>
    <w:p w:rsidR="00F634D1" w:rsidRDefault="008128A5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Подпрограмма №4 " Питание  учащихся в общеобразовательных организациях </w:t>
      </w:r>
      <w:proofErr w:type="spellStart"/>
      <w:r>
        <w:rPr>
          <w:b/>
          <w:bCs/>
          <w:color w:val="000000"/>
          <w:sz w:val="28"/>
          <w:szCs w:val="28"/>
        </w:rPr>
        <w:t>Алагирского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 </w:t>
      </w:r>
    </w:p>
    <w:p w:rsidR="00F634D1" w:rsidRDefault="008128A5">
      <w:pPr>
        <w:jc w:val="center"/>
      </w:pPr>
      <w:r>
        <w:rPr>
          <w:b/>
          <w:color w:val="000000"/>
          <w:sz w:val="28"/>
          <w:szCs w:val="28"/>
        </w:rPr>
        <w:t>на 2024-2026 годы»</w:t>
      </w:r>
    </w:p>
    <w:p w:rsidR="00F634D1" w:rsidRDefault="008128A5">
      <w:pPr>
        <w:autoSpaceDE w:val="0"/>
        <w:autoSpaceDN w:val="0"/>
        <w:adjustRightInd w:val="0"/>
        <w:jc w:val="center"/>
        <w:outlineLvl w:val="0"/>
      </w:pPr>
      <w:r>
        <w:t>( далее - подпрограмма №4)</w:t>
      </w:r>
    </w:p>
    <w:p w:rsidR="00F634D1" w:rsidRDefault="00F634D1">
      <w:pPr>
        <w:autoSpaceDE w:val="0"/>
        <w:autoSpaceDN w:val="0"/>
        <w:adjustRightInd w:val="0"/>
        <w:jc w:val="center"/>
        <w:outlineLvl w:val="0"/>
      </w:pPr>
    </w:p>
    <w:p w:rsidR="00F634D1" w:rsidRDefault="008128A5" w:rsidP="00632E18">
      <w:pPr>
        <w:numPr>
          <w:ilvl w:val="0"/>
          <w:numId w:val="1"/>
        </w:numPr>
        <w:jc w:val="both"/>
      </w:pPr>
      <w:r>
        <w:rPr>
          <w:bCs/>
        </w:rPr>
        <w:t xml:space="preserve">Паспорт 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подпрограммы  №4</w:t>
      </w:r>
    </w:p>
    <w:p w:rsidR="00F634D1" w:rsidRDefault="00F634D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634D1" w:rsidRDefault="00F634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34D1" w:rsidRDefault="00F634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3540"/>
        <w:gridCol w:w="5416"/>
      </w:tblGrid>
      <w:tr w:rsidR="00F634D1">
        <w:trPr>
          <w:trHeight w:val="682"/>
        </w:trPr>
        <w:tc>
          <w:tcPr>
            <w:tcW w:w="649" w:type="dxa"/>
          </w:tcPr>
          <w:p w:rsidR="00F634D1" w:rsidRDefault="008128A5">
            <w:pPr>
              <w:jc w:val="center"/>
            </w:pPr>
            <w:r>
              <w:t xml:space="preserve">1. 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Наименование подпрограммы  </w:t>
            </w:r>
            <w:r>
              <w:rPr>
                <w:bCs/>
                <w:color w:val="000000"/>
              </w:rPr>
              <w:t>№4</w:t>
            </w:r>
            <w:r>
              <w:t xml:space="preserve"> </w:t>
            </w:r>
          </w:p>
        </w:tc>
        <w:tc>
          <w:tcPr>
            <w:tcW w:w="5416" w:type="dxa"/>
          </w:tcPr>
          <w:p w:rsidR="00F634D1" w:rsidRDefault="008128A5">
            <w:pPr>
              <w:rPr>
                <w:bCs/>
              </w:rPr>
            </w:pPr>
            <w:r>
              <w:rPr>
                <w:bCs/>
              </w:rPr>
              <w:t xml:space="preserve">« Питание  учащихся  в общеобразовательных организациях </w:t>
            </w:r>
            <w:proofErr w:type="spellStart"/>
            <w:r>
              <w:rPr>
                <w:bCs/>
              </w:rPr>
              <w:t>Алагирского</w:t>
            </w:r>
            <w:proofErr w:type="spellEnd"/>
            <w:r>
              <w:rPr>
                <w:bCs/>
              </w:rPr>
              <w:t xml:space="preserve"> муниципального района  на 2024-2026 годы»</w:t>
            </w:r>
          </w:p>
          <w:p w:rsidR="00F634D1" w:rsidRDefault="00F634D1">
            <w:pPr>
              <w:jc w:val="both"/>
              <w:rPr>
                <w:bCs/>
              </w:rPr>
            </w:pPr>
          </w:p>
        </w:tc>
      </w:tr>
      <w:tr w:rsidR="00F634D1">
        <w:trPr>
          <w:trHeight w:val="682"/>
        </w:trPr>
        <w:tc>
          <w:tcPr>
            <w:tcW w:w="649" w:type="dxa"/>
          </w:tcPr>
          <w:p w:rsidR="00F634D1" w:rsidRDefault="008128A5">
            <w:pPr>
              <w:jc w:val="center"/>
            </w:pPr>
            <w:r>
              <w:t>2.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Основание для разработки  подпрограммы </w:t>
            </w:r>
            <w:r>
              <w:rPr>
                <w:bCs/>
                <w:color w:val="000000"/>
              </w:rPr>
              <w:t>№4</w:t>
            </w:r>
          </w:p>
        </w:tc>
        <w:tc>
          <w:tcPr>
            <w:tcW w:w="5416" w:type="dxa"/>
          </w:tcPr>
          <w:p w:rsidR="00F634D1" w:rsidRDefault="008128A5">
            <w:pPr>
              <w:autoSpaceDE w:val="0"/>
              <w:autoSpaceDN w:val="0"/>
              <w:adjustRightInd w:val="0"/>
            </w:pPr>
            <w:proofErr w:type="gramStart"/>
            <w:r>
              <w:rPr>
                <w:sz w:val="26"/>
                <w:szCs w:val="26"/>
              </w:rPr>
              <w:t xml:space="preserve">НПА указаны в Паспорте </w:t>
            </w:r>
            <w:r>
              <w:rPr>
                <w:bCs/>
                <w:sz w:val="26"/>
                <w:szCs w:val="26"/>
              </w:rPr>
              <w:t xml:space="preserve">  муниципальной программы  </w:t>
            </w:r>
            <w:proofErr w:type="gramEnd"/>
          </w:p>
        </w:tc>
      </w:tr>
      <w:tr w:rsidR="00F634D1">
        <w:trPr>
          <w:trHeight w:val="682"/>
        </w:trPr>
        <w:tc>
          <w:tcPr>
            <w:tcW w:w="649" w:type="dxa"/>
          </w:tcPr>
          <w:p w:rsidR="00F634D1" w:rsidRDefault="008128A5">
            <w:pPr>
              <w:jc w:val="center"/>
            </w:pPr>
            <w:r>
              <w:t>3.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Разработчик  подпрограммы </w:t>
            </w:r>
            <w:r>
              <w:rPr>
                <w:bCs/>
                <w:color w:val="000000"/>
              </w:rPr>
              <w:t>№4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sz w:val="26"/>
                <w:szCs w:val="26"/>
              </w:rPr>
            </w:pPr>
            <w:r>
              <w:t xml:space="preserve">Управление    образования  администрации местного самоуправления  </w:t>
            </w:r>
            <w:proofErr w:type="spellStart"/>
            <w:r>
              <w:t>Алагирского</w:t>
            </w:r>
            <w:proofErr w:type="spellEnd"/>
            <w:r>
              <w:t xml:space="preserve"> муниципального    района</w:t>
            </w:r>
          </w:p>
        </w:tc>
      </w:tr>
      <w:tr w:rsidR="00F634D1">
        <w:trPr>
          <w:trHeight w:val="682"/>
        </w:trPr>
        <w:tc>
          <w:tcPr>
            <w:tcW w:w="649" w:type="dxa"/>
          </w:tcPr>
          <w:p w:rsidR="00F634D1" w:rsidRDefault="008128A5">
            <w:pPr>
              <w:jc w:val="center"/>
            </w:pPr>
            <w:r>
              <w:t>4.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Ответственный исполнитель    подпрограммы </w:t>
            </w:r>
            <w:r>
              <w:rPr>
                <w:bCs/>
                <w:color w:val="000000"/>
              </w:rPr>
              <w:t>№4</w:t>
            </w:r>
          </w:p>
        </w:tc>
        <w:tc>
          <w:tcPr>
            <w:tcW w:w="5416" w:type="dxa"/>
          </w:tcPr>
          <w:p w:rsidR="00F634D1" w:rsidRDefault="00812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  образования  администрации местного самоуправления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 района; </w:t>
            </w:r>
          </w:p>
        </w:tc>
      </w:tr>
      <w:tr w:rsidR="00F634D1">
        <w:trPr>
          <w:trHeight w:val="682"/>
        </w:trPr>
        <w:tc>
          <w:tcPr>
            <w:tcW w:w="649" w:type="dxa"/>
          </w:tcPr>
          <w:p w:rsidR="00F634D1" w:rsidRDefault="008128A5">
            <w:pPr>
              <w:jc w:val="center"/>
            </w:pPr>
            <w:r>
              <w:t>5.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Соисполнители  подпрограммы </w:t>
            </w:r>
            <w:r>
              <w:rPr>
                <w:bCs/>
                <w:color w:val="000000"/>
              </w:rPr>
              <w:t>№4</w:t>
            </w:r>
          </w:p>
        </w:tc>
        <w:tc>
          <w:tcPr>
            <w:tcW w:w="5416" w:type="dxa"/>
          </w:tcPr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 организации</w:t>
            </w:r>
          </w:p>
          <w:p w:rsidR="00F634D1" w:rsidRDefault="00812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F634D1">
        <w:trPr>
          <w:trHeight w:val="682"/>
        </w:trPr>
        <w:tc>
          <w:tcPr>
            <w:tcW w:w="649" w:type="dxa"/>
          </w:tcPr>
          <w:p w:rsidR="00F634D1" w:rsidRDefault="008128A5">
            <w:pPr>
              <w:jc w:val="center"/>
            </w:pPr>
            <w:r>
              <w:t>6.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Участники подпрограммы </w:t>
            </w:r>
            <w:r>
              <w:rPr>
                <w:bCs/>
                <w:color w:val="000000"/>
              </w:rPr>
              <w:t>№4</w:t>
            </w:r>
          </w:p>
        </w:tc>
        <w:tc>
          <w:tcPr>
            <w:tcW w:w="5416" w:type="dxa"/>
          </w:tcPr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 организации</w:t>
            </w:r>
          </w:p>
          <w:p w:rsidR="00F634D1" w:rsidRDefault="008128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Алагирского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</w:t>
            </w:r>
          </w:p>
        </w:tc>
      </w:tr>
      <w:tr w:rsidR="00F634D1">
        <w:trPr>
          <w:trHeight w:val="4234"/>
        </w:trPr>
        <w:tc>
          <w:tcPr>
            <w:tcW w:w="649" w:type="dxa"/>
          </w:tcPr>
          <w:p w:rsidR="00F634D1" w:rsidRDefault="008128A5">
            <w:pPr>
              <w:jc w:val="center"/>
            </w:pPr>
            <w:r>
              <w:t>7.</w:t>
            </w:r>
          </w:p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Цели и основные задачи  подпрограммы  </w:t>
            </w:r>
            <w:r>
              <w:rPr>
                <w:bCs/>
                <w:color w:val="000000"/>
              </w:rPr>
              <w:t>№4</w:t>
            </w:r>
          </w:p>
        </w:tc>
        <w:tc>
          <w:tcPr>
            <w:tcW w:w="5416" w:type="dxa"/>
          </w:tcPr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условий для укрепления здоровья детей общеобразовательных организации  района,  повышение их работоспособности и успеваемости, физического и умственного развития</w:t>
            </w:r>
          </w:p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рациона школьного питания, расширение  ассортимента продуктов питания, организация повышения квалификации профессиональных  кадров для работы в школьных столовых;</w:t>
            </w:r>
          </w:p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и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эффективности  организации школьного питания обучающихся  общеобразовательных учреждений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культуры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4D1">
        <w:tc>
          <w:tcPr>
            <w:tcW w:w="649" w:type="dxa"/>
          </w:tcPr>
          <w:p w:rsidR="00F634D1" w:rsidRDefault="008128A5">
            <w:pPr>
              <w:jc w:val="center"/>
            </w:pPr>
            <w:r>
              <w:t>8.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Целевые индикаторы  и показатели   подпрограммы </w:t>
            </w:r>
            <w:r>
              <w:rPr>
                <w:bCs/>
                <w:color w:val="000000"/>
              </w:rPr>
              <w:t>№4</w:t>
            </w:r>
          </w:p>
        </w:tc>
        <w:tc>
          <w:tcPr>
            <w:tcW w:w="5416" w:type="dxa"/>
          </w:tcPr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Обеспечение высокого качества и безопасности питания детей в общеобразовательных учреждениях;</w:t>
            </w:r>
          </w:p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горячего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учреждений;</w:t>
            </w:r>
          </w:p>
          <w:p w:rsidR="00F634D1" w:rsidRDefault="008128A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совершенствование системы и повышение эффективности управления организацией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школьного питания обучающихся общеобразовательных учреждений.</w:t>
            </w:r>
          </w:p>
        </w:tc>
      </w:tr>
      <w:tr w:rsidR="00F634D1">
        <w:tc>
          <w:tcPr>
            <w:tcW w:w="649" w:type="dxa"/>
          </w:tcPr>
          <w:p w:rsidR="00F634D1" w:rsidRDefault="008128A5">
            <w:pPr>
              <w:jc w:val="center"/>
            </w:pPr>
            <w:r>
              <w:lastRenderedPageBreak/>
              <w:t>9.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Этапы и сроки реализации  подпрограммы </w:t>
            </w:r>
            <w:r>
              <w:rPr>
                <w:bCs/>
                <w:color w:val="000000"/>
              </w:rPr>
              <w:t>№4</w:t>
            </w:r>
          </w:p>
          <w:p w:rsidR="00F634D1" w:rsidRDefault="00F634D1">
            <w:pPr>
              <w:jc w:val="both"/>
            </w:pPr>
          </w:p>
        </w:tc>
        <w:tc>
          <w:tcPr>
            <w:tcW w:w="5416" w:type="dxa"/>
          </w:tcPr>
          <w:p w:rsidR="00F634D1" w:rsidRDefault="008128A5">
            <w:pPr>
              <w:jc w:val="both"/>
            </w:pPr>
            <w:r>
              <w:t xml:space="preserve">Подпрограмма  </w:t>
            </w:r>
            <w:r>
              <w:rPr>
                <w:bCs/>
                <w:color w:val="000000"/>
              </w:rPr>
              <w:t xml:space="preserve">№4 </w:t>
            </w:r>
            <w:r>
              <w:t xml:space="preserve">реализуется в один этап. </w:t>
            </w:r>
          </w:p>
          <w:p w:rsidR="00F634D1" w:rsidRDefault="008128A5">
            <w:pPr>
              <w:jc w:val="both"/>
            </w:pPr>
            <w:r>
              <w:t>Срок реализации  подпрограммы: 2024 – 2026 годы</w:t>
            </w:r>
          </w:p>
        </w:tc>
      </w:tr>
      <w:tr w:rsidR="00F634D1">
        <w:tc>
          <w:tcPr>
            <w:tcW w:w="649" w:type="dxa"/>
            <w:vMerge w:val="restart"/>
          </w:tcPr>
          <w:p w:rsidR="00F634D1" w:rsidRDefault="008128A5">
            <w:pPr>
              <w:jc w:val="center"/>
            </w:pPr>
            <w:r>
              <w:t>10.</w:t>
            </w:r>
          </w:p>
          <w:p w:rsidR="00F634D1" w:rsidRDefault="00F634D1">
            <w:pPr>
              <w:jc w:val="center"/>
            </w:pPr>
          </w:p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Объемы и источники финансирования  подпрограммы </w:t>
            </w:r>
            <w:r>
              <w:rPr>
                <w:bCs/>
                <w:color w:val="000000"/>
              </w:rPr>
              <w:t>№4</w:t>
            </w:r>
            <w:r>
              <w:t xml:space="preserve"> (тысяч руб.) </w:t>
            </w:r>
            <w:r>
              <w:rPr>
                <w:b/>
              </w:rPr>
              <w:t xml:space="preserve">на 2024 год </w:t>
            </w:r>
            <w:r>
              <w:t>в том числе: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</w:pPr>
            <w:r>
              <w:rPr>
                <w:lang w:eastAsia="en-US"/>
              </w:rPr>
              <w:t xml:space="preserve">Всего -  37 851,7 тыс. руб., </w:t>
            </w: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федерального бюджета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16 309,7тыс.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республиканского бюджета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12 259,0 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7053,0 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2230,0 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 w:val="restart"/>
          </w:tcPr>
          <w:p w:rsidR="00F634D1" w:rsidRDefault="008128A5">
            <w:pPr>
              <w:jc w:val="center"/>
            </w:pPr>
            <w:r>
              <w:t>11.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</w:t>
            </w:r>
            <w:r>
              <w:rPr>
                <w:bCs/>
                <w:color w:val="000000"/>
              </w:rPr>
              <w:t xml:space="preserve">№4 </w:t>
            </w:r>
            <w:r>
              <w:t xml:space="preserve"> (тысяч руб.) </w:t>
            </w:r>
            <w:r>
              <w:rPr>
                <w:b/>
              </w:rPr>
              <w:t>на 2025 год</w:t>
            </w:r>
          </w:p>
          <w:p w:rsidR="00F634D1" w:rsidRDefault="008128A5">
            <w:pPr>
              <w:jc w:val="both"/>
            </w:pPr>
            <w:r>
              <w:t>в том числе: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-  37 851,7 тыс. руб., </w:t>
            </w: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федерального бюджета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16 309,7тыс.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республиканского бюджета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12 259,0 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7053,0 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2230,0 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 w:val="restart"/>
          </w:tcPr>
          <w:p w:rsidR="00F634D1" w:rsidRDefault="008128A5">
            <w:pPr>
              <w:jc w:val="center"/>
            </w:pPr>
            <w:r>
              <w:t>12.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  <w:rPr>
                <w:b/>
              </w:rPr>
            </w:pPr>
            <w:r>
              <w:t xml:space="preserve">Объемы и источники финансирования подпрограммы  </w:t>
            </w:r>
            <w:r>
              <w:rPr>
                <w:bCs/>
                <w:color w:val="000000"/>
              </w:rPr>
              <w:t xml:space="preserve">№4 </w:t>
            </w:r>
            <w:r>
              <w:t xml:space="preserve">(тысяч руб.) </w:t>
            </w:r>
            <w:r>
              <w:rPr>
                <w:b/>
              </w:rPr>
              <w:t>на 2026 год</w:t>
            </w:r>
          </w:p>
          <w:p w:rsidR="00F634D1" w:rsidRDefault="008128A5">
            <w:pPr>
              <w:jc w:val="both"/>
            </w:pPr>
            <w:r>
              <w:t>в том числе: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Всего -  37 851,7 тыс. руб., </w:t>
            </w: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федерального бюджета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16 309,7тыс.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республиканского бюджета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12 259,0 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местного бюджета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7053,0 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  <w:vMerge/>
          </w:tcPr>
          <w:p w:rsidR="00F634D1" w:rsidRDefault="00F634D1">
            <w:pPr>
              <w:jc w:val="center"/>
            </w:pP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>- за счет внебюджетных источников (тыс. руб.)</w:t>
            </w:r>
          </w:p>
        </w:tc>
        <w:tc>
          <w:tcPr>
            <w:tcW w:w="5416" w:type="dxa"/>
          </w:tcPr>
          <w:p w:rsidR="00F634D1" w:rsidRDefault="008128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2230,0 тыс. руб.</w:t>
            </w:r>
          </w:p>
          <w:p w:rsidR="00F634D1" w:rsidRDefault="00F634D1">
            <w:pPr>
              <w:jc w:val="both"/>
              <w:rPr>
                <w:lang w:eastAsia="en-US"/>
              </w:rPr>
            </w:pPr>
          </w:p>
        </w:tc>
      </w:tr>
      <w:tr w:rsidR="00F634D1">
        <w:tc>
          <w:tcPr>
            <w:tcW w:w="649" w:type="dxa"/>
          </w:tcPr>
          <w:p w:rsidR="00F634D1" w:rsidRDefault="008128A5">
            <w:pPr>
              <w:jc w:val="center"/>
            </w:pPr>
            <w:r>
              <w:t>13.</w:t>
            </w:r>
          </w:p>
        </w:tc>
        <w:tc>
          <w:tcPr>
            <w:tcW w:w="3540" w:type="dxa"/>
          </w:tcPr>
          <w:p w:rsidR="00F634D1" w:rsidRDefault="008128A5">
            <w:pPr>
              <w:jc w:val="both"/>
            </w:pPr>
            <w:r>
              <w:t xml:space="preserve">Ожидаемые результаты реализации  подпрограммы </w:t>
            </w:r>
            <w:r>
              <w:rPr>
                <w:bCs/>
                <w:color w:val="000000"/>
              </w:rPr>
              <w:t>№4</w:t>
            </w:r>
          </w:p>
          <w:p w:rsidR="00F634D1" w:rsidRDefault="00F634D1"/>
          <w:p w:rsidR="00F634D1" w:rsidRDefault="00F634D1"/>
        </w:tc>
        <w:tc>
          <w:tcPr>
            <w:tcW w:w="5416" w:type="dxa"/>
          </w:tcPr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заболеваемости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здоровья детского населения в районе по болезням органов пищеварения, инфекционным и паразитарным заболеваниям;</w:t>
            </w:r>
          </w:p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питания, обеспечение   его безопасности, рациональной сбалансированности;</w:t>
            </w:r>
          </w:p>
          <w:p w:rsidR="00F634D1" w:rsidRDefault="008128A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внедрение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новых технологий и форм обслуживания  обучающихся.</w:t>
            </w:r>
          </w:p>
          <w:p w:rsidR="00F634D1" w:rsidRDefault="00F634D1">
            <w:pPr>
              <w:jc w:val="both"/>
            </w:pPr>
          </w:p>
        </w:tc>
      </w:tr>
    </w:tbl>
    <w:p w:rsidR="00F634D1" w:rsidRDefault="00F634D1">
      <w:pPr>
        <w:pStyle w:val="af2"/>
        <w:spacing w:before="0" w:beforeAutospacing="0" w:after="0" w:afterAutospacing="0" w:line="360" w:lineRule="auto"/>
        <w:ind w:firstLine="567"/>
        <w:jc w:val="both"/>
        <w:rPr>
          <w:b/>
        </w:rPr>
      </w:pPr>
    </w:p>
    <w:p w:rsidR="00632E18" w:rsidRDefault="00632E18" w:rsidP="00DA0F6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634D1" w:rsidRPr="00DA0F6C" w:rsidRDefault="008128A5" w:rsidP="00DA0F6C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</w:t>
      </w:r>
      <w:r w:rsidRPr="00DA0F6C">
        <w:rPr>
          <w:b/>
          <w:sz w:val="26"/>
          <w:szCs w:val="26"/>
        </w:rPr>
        <w:t xml:space="preserve">Характеристика сферы реализации подпрограммы </w:t>
      </w:r>
      <w:r w:rsidRPr="00DA0F6C">
        <w:rPr>
          <w:b/>
          <w:bCs/>
          <w:sz w:val="26"/>
          <w:szCs w:val="26"/>
        </w:rPr>
        <w:t xml:space="preserve">  </w:t>
      </w:r>
      <w:r w:rsidR="00DA0F6C" w:rsidRPr="00DA0F6C">
        <w:rPr>
          <w:b/>
          <w:bCs/>
          <w:sz w:val="26"/>
          <w:szCs w:val="26"/>
        </w:rPr>
        <w:t>№4</w:t>
      </w:r>
    </w:p>
    <w:p w:rsidR="00F634D1" w:rsidRDefault="00F634D1">
      <w:pPr>
        <w:pStyle w:val="af2"/>
        <w:spacing w:before="0" w:beforeAutospacing="0" w:after="0" w:afterAutospacing="0"/>
        <w:ind w:left="1287"/>
        <w:jc w:val="center"/>
        <w:rPr>
          <w:b/>
        </w:rPr>
      </w:pPr>
    </w:p>
    <w:p w:rsidR="00F634D1" w:rsidRDefault="008128A5">
      <w:pPr>
        <w:pStyle w:val="af2"/>
        <w:spacing w:before="0" w:beforeAutospacing="0" w:after="0" w:afterAutospacing="0"/>
        <w:ind w:firstLine="567"/>
        <w:jc w:val="both"/>
      </w:pPr>
      <w:r>
        <w:t>Питание является одним из важнейших факторов, определяющих здоровье детей и подростков, способствующих профилактике заболеваний, повышению работоспособности и успеваемости, физическому и умственному развитию, создающему условия для адаптации подрастающего поколения к окружающей среде.</w:t>
      </w:r>
    </w:p>
    <w:p w:rsidR="00F634D1" w:rsidRDefault="008128A5">
      <w:pPr>
        <w:pStyle w:val="af2"/>
        <w:spacing w:before="0" w:beforeAutospacing="0" w:after="0" w:afterAutospacing="0"/>
        <w:ind w:firstLine="567"/>
        <w:jc w:val="both"/>
      </w:pPr>
      <w:r>
        <w:t xml:space="preserve">В современных условиях питанию детей в семьях, особенно в утренние часы, уделено мало внимания, в связи с этим ухудшается структура питания в целом. Школьное питание является реальным средством предотвращения таких негативных явлений у детей, как замедление или приостановление </w:t>
      </w:r>
      <w:proofErr w:type="gramStart"/>
      <w:r>
        <w:t>роста заболеваний</w:t>
      </w:r>
      <w:proofErr w:type="gramEnd"/>
      <w:r>
        <w:t xml:space="preserve">, вызванных неправильным питанием. </w:t>
      </w:r>
    </w:p>
    <w:p w:rsidR="00F634D1" w:rsidRDefault="008128A5">
      <w:pPr>
        <w:pStyle w:val="af2"/>
        <w:spacing w:before="0" w:beforeAutospacing="0" w:after="0" w:afterAutospacing="0"/>
        <w:ind w:firstLine="567"/>
        <w:jc w:val="both"/>
        <w:rPr>
          <w:b/>
        </w:rPr>
      </w:pPr>
      <w:r>
        <w:t>В подпрограмме  участвуют 10  общеобразовательных организации, в том числе 7  филиалов с количеством обучающихся</w:t>
      </w:r>
      <w:r>
        <w:rPr>
          <w:b/>
        </w:rPr>
        <w:t xml:space="preserve">  </w:t>
      </w:r>
      <w:r>
        <w:rPr>
          <w:bCs/>
        </w:rPr>
        <w:t>3586,</w:t>
      </w:r>
      <w:r>
        <w:t xml:space="preserve">  из них в 1-4 классах – 1417 обучающихся.</w:t>
      </w:r>
    </w:p>
    <w:p w:rsidR="00F634D1" w:rsidRDefault="008128A5">
      <w:pPr>
        <w:pStyle w:val="af2"/>
        <w:spacing w:before="0" w:beforeAutospacing="0" w:after="0" w:afterAutospacing="0"/>
        <w:ind w:firstLine="567"/>
        <w:jc w:val="both"/>
      </w:pPr>
      <w:r>
        <w:t xml:space="preserve">В 15 общеобразовательных организациях имеются собственные столовые. </w:t>
      </w:r>
    </w:p>
    <w:p w:rsidR="00632E18" w:rsidRDefault="00632E18">
      <w:pPr>
        <w:pStyle w:val="af2"/>
        <w:spacing w:before="0" w:beforeAutospacing="0" w:after="0" w:afterAutospacing="0"/>
        <w:ind w:firstLine="567"/>
        <w:jc w:val="both"/>
      </w:pPr>
    </w:p>
    <w:p w:rsidR="00632E18" w:rsidRDefault="00632E18">
      <w:pPr>
        <w:pStyle w:val="af2"/>
        <w:spacing w:before="0" w:beforeAutospacing="0" w:after="0" w:afterAutospacing="0"/>
        <w:ind w:firstLine="567"/>
        <w:jc w:val="both"/>
      </w:pPr>
    </w:p>
    <w:p w:rsidR="00F634D1" w:rsidRDefault="00F634D1">
      <w:pPr>
        <w:pStyle w:val="af2"/>
        <w:spacing w:before="0" w:beforeAutospacing="0" w:after="0" w:afterAutospacing="0"/>
        <w:ind w:firstLine="567"/>
        <w:jc w:val="both"/>
      </w:pPr>
    </w:p>
    <w:p w:rsidR="00F634D1" w:rsidRDefault="008128A5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6"/>
          <w:szCs w:val="26"/>
        </w:rPr>
        <w:t xml:space="preserve"> </w:t>
      </w:r>
      <w:r>
        <w:rPr>
          <w:b/>
          <w:lang w:val="en-US"/>
        </w:rPr>
        <w:t>III</w:t>
      </w:r>
      <w:r>
        <w:rPr>
          <w:b/>
        </w:rPr>
        <w:t>. Цели</w:t>
      </w:r>
      <w:proofErr w:type="gramStart"/>
      <w:r>
        <w:rPr>
          <w:b/>
        </w:rPr>
        <w:t>,  основные</w:t>
      </w:r>
      <w:proofErr w:type="gramEnd"/>
      <w:r>
        <w:rPr>
          <w:b/>
        </w:rPr>
        <w:t xml:space="preserve"> задачи, целевые индикаторы, этапы и сроки реализации, ресурсное обеспечение, ожидаемые результаты реализации подпрограммы </w:t>
      </w:r>
      <w:r w:rsidR="00DA0F6C">
        <w:rPr>
          <w:b/>
        </w:rPr>
        <w:t xml:space="preserve">№4 </w:t>
      </w:r>
    </w:p>
    <w:p w:rsidR="00632E18" w:rsidRDefault="00632E18">
      <w:pPr>
        <w:autoSpaceDE w:val="0"/>
        <w:autoSpaceDN w:val="0"/>
        <w:adjustRightInd w:val="0"/>
        <w:jc w:val="center"/>
        <w:rPr>
          <w:b/>
        </w:rPr>
      </w:pPr>
    </w:p>
    <w:p w:rsidR="00632E18" w:rsidRDefault="00632E18">
      <w:pPr>
        <w:autoSpaceDE w:val="0"/>
        <w:autoSpaceDN w:val="0"/>
        <w:adjustRightInd w:val="0"/>
        <w:jc w:val="center"/>
        <w:rPr>
          <w:b/>
        </w:rPr>
      </w:pPr>
    </w:p>
    <w:p w:rsidR="00DA0F6C" w:rsidRDefault="00DA0F6C">
      <w:pPr>
        <w:autoSpaceDE w:val="0"/>
        <w:autoSpaceDN w:val="0"/>
        <w:adjustRightInd w:val="0"/>
        <w:jc w:val="center"/>
        <w:rPr>
          <w:b/>
        </w:rPr>
      </w:pPr>
    </w:p>
    <w:p w:rsidR="00F634D1" w:rsidRDefault="00207F18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50" w:firstLine="653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25971">
        <w:rPr>
          <w:rFonts w:ascii="Times New Roman" w:hAnsi="Times New Roman"/>
          <w:b/>
          <w:bCs/>
          <w:sz w:val="26"/>
          <w:szCs w:val="26"/>
          <w:lang w:eastAsia="ru-RU"/>
        </w:rPr>
        <w:t>3.1.</w:t>
      </w:r>
      <w:r w:rsidR="008128A5" w:rsidRPr="008259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</w:t>
      </w:r>
      <w:r w:rsidR="008128A5" w:rsidRPr="00825971">
        <w:rPr>
          <w:rFonts w:ascii="Times New Roman" w:hAnsi="Times New Roman"/>
          <w:b/>
          <w:bCs/>
          <w:sz w:val="26"/>
          <w:szCs w:val="26"/>
        </w:rPr>
        <w:t xml:space="preserve">Цели и   основные задачи </w:t>
      </w:r>
      <w:r w:rsidR="008128A5" w:rsidRPr="008259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подпрограммы </w:t>
      </w:r>
      <w:r w:rsidRPr="00825971">
        <w:rPr>
          <w:rFonts w:ascii="Times New Roman" w:hAnsi="Times New Roman"/>
          <w:b/>
          <w:bCs/>
          <w:sz w:val="26"/>
          <w:szCs w:val="26"/>
          <w:lang w:eastAsia="ru-RU"/>
        </w:rPr>
        <w:t>№4</w:t>
      </w:r>
    </w:p>
    <w:p w:rsidR="00632E18" w:rsidRPr="00825971" w:rsidRDefault="00632E18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50" w:firstLine="653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34D1" w:rsidRDefault="008128A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34D1" w:rsidRDefault="008128A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Цели и   основные задачи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>
        <w:rPr>
          <w:rFonts w:ascii="Times New Roman" w:hAnsi="Times New Roman"/>
          <w:bCs/>
          <w:sz w:val="24"/>
          <w:szCs w:val="24"/>
        </w:rPr>
        <w:t xml:space="preserve">представлены в пункте 7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подпрограммы </w:t>
      </w:r>
      <w:r w:rsidR="00207F18">
        <w:rPr>
          <w:rFonts w:ascii="Times New Roman" w:hAnsi="Times New Roman"/>
          <w:bCs/>
          <w:sz w:val="24"/>
          <w:szCs w:val="24"/>
          <w:lang w:eastAsia="ru-RU"/>
        </w:rPr>
        <w:t>№4</w:t>
      </w:r>
    </w:p>
    <w:p w:rsidR="00632E18" w:rsidRDefault="00632E18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F634D1" w:rsidRDefault="00F634D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634D1" w:rsidRDefault="00207F18" w:rsidP="00825971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702"/>
        <w:jc w:val="center"/>
        <w:rPr>
          <w:rFonts w:ascii="Times New Roman" w:hAnsi="Times New Roman"/>
          <w:b/>
          <w:bCs/>
          <w:sz w:val="26"/>
          <w:szCs w:val="26"/>
        </w:rPr>
      </w:pPr>
      <w:r w:rsidRPr="00825971">
        <w:rPr>
          <w:rFonts w:ascii="Times New Roman" w:hAnsi="Times New Roman"/>
          <w:b/>
          <w:sz w:val="26"/>
          <w:szCs w:val="26"/>
          <w:lang w:eastAsia="ru-RU"/>
        </w:rPr>
        <w:t>3.2.</w:t>
      </w:r>
      <w:r w:rsidR="008128A5" w:rsidRPr="00825971">
        <w:rPr>
          <w:b/>
          <w:sz w:val="26"/>
          <w:szCs w:val="26"/>
          <w:lang w:eastAsia="ru-RU"/>
        </w:rPr>
        <w:t xml:space="preserve"> </w:t>
      </w:r>
      <w:r w:rsidR="008128A5" w:rsidRPr="00825971">
        <w:rPr>
          <w:b/>
          <w:bCs/>
          <w:sz w:val="26"/>
          <w:szCs w:val="26"/>
          <w:lang w:eastAsia="ru-RU"/>
        </w:rPr>
        <w:t xml:space="preserve"> </w:t>
      </w:r>
      <w:r w:rsidR="008128A5" w:rsidRPr="0082597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Целевые показатели и индикаторы реализации подпрограммы </w:t>
      </w:r>
      <w:r w:rsidR="00825971" w:rsidRPr="00825971">
        <w:rPr>
          <w:rFonts w:ascii="Times New Roman" w:hAnsi="Times New Roman"/>
          <w:b/>
          <w:bCs/>
          <w:sz w:val="26"/>
          <w:szCs w:val="26"/>
        </w:rPr>
        <w:t>№4</w:t>
      </w:r>
    </w:p>
    <w:p w:rsidR="00632E18" w:rsidRPr="00825971" w:rsidRDefault="00632E18" w:rsidP="00825971">
      <w:pPr>
        <w:pStyle w:val="13"/>
        <w:tabs>
          <w:tab w:val="left" w:pos="0"/>
        </w:tabs>
        <w:autoSpaceDE w:val="0"/>
        <w:autoSpaceDN w:val="0"/>
        <w:adjustRightInd w:val="0"/>
        <w:spacing w:after="0" w:line="240" w:lineRule="auto"/>
        <w:ind w:left="10" w:firstLineChars="269" w:firstLine="702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634D1" w:rsidRDefault="00F634D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709"/>
        <w:gridCol w:w="1559"/>
        <w:gridCol w:w="1276"/>
        <w:gridCol w:w="992"/>
        <w:gridCol w:w="992"/>
      </w:tblGrid>
      <w:tr w:rsidR="00825971" w:rsidTr="00500867">
        <w:trPr>
          <w:trHeight w:val="149"/>
        </w:trPr>
        <w:tc>
          <w:tcPr>
            <w:tcW w:w="567" w:type="dxa"/>
            <w:vAlign w:val="center"/>
          </w:tcPr>
          <w:p w:rsidR="00825971" w:rsidRDefault="00825971" w:rsidP="0050086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4" w:type="dxa"/>
            <w:vAlign w:val="center"/>
          </w:tcPr>
          <w:p w:rsidR="00825971" w:rsidRDefault="00825971" w:rsidP="00500867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Ед. изм.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 xml:space="preserve">Источник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825971" w:rsidRDefault="00825971" w:rsidP="00500867">
            <w:pPr>
              <w:jc w:val="center"/>
            </w:pPr>
          </w:p>
          <w:p w:rsidR="00825971" w:rsidRDefault="00825971" w:rsidP="00500867">
            <w:pPr>
              <w:jc w:val="center"/>
            </w:pPr>
            <w:r>
              <w:t>2024</w:t>
            </w:r>
          </w:p>
          <w:p w:rsidR="00825971" w:rsidRDefault="00825971" w:rsidP="00500867">
            <w:pPr>
              <w:jc w:val="center"/>
            </w:pPr>
          </w:p>
        </w:tc>
        <w:tc>
          <w:tcPr>
            <w:tcW w:w="992" w:type="dxa"/>
          </w:tcPr>
          <w:p w:rsidR="00825971" w:rsidRDefault="00825971" w:rsidP="00500867">
            <w:pPr>
              <w:jc w:val="center"/>
            </w:pPr>
          </w:p>
          <w:p w:rsidR="00825971" w:rsidRDefault="00825971" w:rsidP="00500867">
            <w:pPr>
              <w:jc w:val="center"/>
            </w:pPr>
            <w:r>
              <w:t>2025</w:t>
            </w:r>
          </w:p>
        </w:tc>
        <w:tc>
          <w:tcPr>
            <w:tcW w:w="992" w:type="dxa"/>
          </w:tcPr>
          <w:p w:rsidR="00825971" w:rsidRDefault="00825971" w:rsidP="00500867">
            <w:pPr>
              <w:jc w:val="center"/>
            </w:pPr>
          </w:p>
          <w:p w:rsidR="00825971" w:rsidRDefault="00825971" w:rsidP="00500867">
            <w:pPr>
              <w:jc w:val="center"/>
            </w:pPr>
            <w:r>
              <w:t>2026</w:t>
            </w:r>
          </w:p>
        </w:tc>
      </w:tr>
      <w:tr w:rsidR="00825971" w:rsidTr="00825971">
        <w:trPr>
          <w:trHeight w:val="1798"/>
        </w:trPr>
        <w:tc>
          <w:tcPr>
            <w:tcW w:w="567" w:type="dxa"/>
            <w:vAlign w:val="center"/>
          </w:tcPr>
          <w:p w:rsidR="00825971" w:rsidRDefault="00825971" w:rsidP="00500867">
            <w:pPr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825971" w:rsidRDefault="00825971" w:rsidP="00825971">
            <w:pPr>
              <w:spacing w:before="240"/>
            </w:pPr>
            <w:r>
              <w:t xml:space="preserve">Количество обучающихся  начальных классов общеобразовательных организации  района, получающих горячее питание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5971" w:rsidRDefault="00825971" w:rsidP="00500867">
            <w:pPr>
              <w:pStyle w:val="af2"/>
              <w:spacing w:before="0" w:beforeAutospacing="0" w:after="0" w:afterAutospacing="0"/>
              <w:jc w:val="center"/>
            </w:pPr>
            <w: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25971" w:rsidRDefault="00825971" w:rsidP="00500867">
            <w:pPr>
              <w:pStyle w:val="af2"/>
              <w:spacing w:before="0" w:beforeAutospacing="0" w:after="0" w:afterAutospacing="0"/>
              <w:jc w:val="center"/>
            </w:pPr>
            <w:r>
              <w:t>средства федерально-</w:t>
            </w:r>
          </w:p>
          <w:p w:rsidR="00825971" w:rsidRDefault="00825971" w:rsidP="00500867">
            <w:pPr>
              <w:pStyle w:val="af2"/>
              <w:spacing w:before="0" w:beforeAutospacing="0" w:after="0" w:afterAutospacing="0"/>
              <w:jc w:val="center"/>
            </w:pPr>
            <w:proofErr w:type="spellStart"/>
            <w:r>
              <w:t>го</w:t>
            </w:r>
            <w:proofErr w:type="spellEnd"/>
            <w:r>
              <w:t xml:space="preserve"> бюджета</w:t>
            </w:r>
          </w:p>
        </w:tc>
        <w:tc>
          <w:tcPr>
            <w:tcW w:w="1276" w:type="dxa"/>
            <w:vAlign w:val="center"/>
          </w:tcPr>
          <w:p w:rsidR="00825971" w:rsidRDefault="00825971" w:rsidP="00500867">
            <w:pPr>
              <w:jc w:val="center"/>
            </w:pPr>
            <w:r>
              <w:t>1417</w:t>
            </w:r>
          </w:p>
        </w:tc>
        <w:tc>
          <w:tcPr>
            <w:tcW w:w="992" w:type="dxa"/>
            <w:vAlign w:val="center"/>
          </w:tcPr>
          <w:p w:rsidR="00825971" w:rsidRDefault="00825971" w:rsidP="00500867">
            <w:pPr>
              <w:jc w:val="center"/>
            </w:pPr>
            <w:r>
              <w:t>1417</w:t>
            </w:r>
          </w:p>
        </w:tc>
        <w:tc>
          <w:tcPr>
            <w:tcW w:w="992" w:type="dxa"/>
            <w:vAlign w:val="center"/>
          </w:tcPr>
          <w:p w:rsidR="00825971" w:rsidRDefault="00825971" w:rsidP="00500867">
            <w:pPr>
              <w:jc w:val="center"/>
            </w:pPr>
            <w:r>
              <w:t>1417</w:t>
            </w:r>
          </w:p>
        </w:tc>
      </w:tr>
      <w:tr w:rsidR="00825971" w:rsidTr="008128A5">
        <w:trPr>
          <w:trHeight w:val="1348"/>
        </w:trPr>
        <w:tc>
          <w:tcPr>
            <w:tcW w:w="567" w:type="dxa"/>
            <w:vAlign w:val="center"/>
          </w:tcPr>
          <w:p w:rsidR="00825971" w:rsidRDefault="00825971" w:rsidP="00500867">
            <w:pPr>
              <w:jc w:val="both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825971" w:rsidRDefault="00825971" w:rsidP="00500867">
            <w:r>
              <w:t xml:space="preserve">Доля обучающихся начальных классов общеобразовательных учреждений района, получающих питание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25971" w:rsidRDefault="00825971" w:rsidP="00500867">
            <w:pPr>
              <w:pStyle w:val="af2"/>
              <w:spacing w:before="0" w:beforeAutospacing="0" w:after="0" w:afterAutospacing="0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825971" w:rsidRDefault="00825971" w:rsidP="00500867">
            <w:pPr>
              <w:jc w:val="center"/>
            </w:pPr>
          </w:p>
        </w:tc>
        <w:tc>
          <w:tcPr>
            <w:tcW w:w="1276" w:type="dxa"/>
            <w:vAlign w:val="center"/>
          </w:tcPr>
          <w:p w:rsidR="00825971" w:rsidRDefault="00825971" w:rsidP="00500867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25971" w:rsidRDefault="00825971" w:rsidP="00500867">
            <w:pPr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825971" w:rsidRDefault="00825971" w:rsidP="00500867">
            <w:pPr>
              <w:jc w:val="center"/>
            </w:pPr>
            <w:r>
              <w:t>100</w:t>
            </w:r>
          </w:p>
        </w:tc>
      </w:tr>
      <w:tr w:rsidR="00825971" w:rsidTr="00500867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both"/>
            </w:pPr>
            <w: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r>
              <w:t>Количество общеобразовательных учреждений, в которых организовано питание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971" w:rsidRDefault="00825971" w:rsidP="00500867">
            <w:pPr>
              <w:pStyle w:val="af2"/>
              <w:spacing w:before="0" w:beforeAutospacing="0" w:after="0" w:afterAutospacing="0"/>
              <w:jc w:val="center"/>
            </w:pPr>
            <w:r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10</w:t>
            </w:r>
          </w:p>
        </w:tc>
      </w:tr>
      <w:tr w:rsidR="00825971" w:rsidTr="00500867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both"/>
            </w:pPr>
            <w: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ind w:right="-108"/>
            </w:pPr>
            <w:r>
              <w:t xml:space="preserve"> Доля общеобразовательных учреждений, в которых организовано питание, </w:t>
            </w:r>
          </w:p>
          <w:p w:rsidR="00825971" w:rsidRDefault="00825971" w:rsidP="00500867">
            <w:pPr>
              <w:ind w:right="-108"/>
            </w:pPr>
            <w:r>
              <w:t xml:space="preserve">от общего количества общеобразовательных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971" w:rsidRDefault="00825971" w:rsidP="00500867">
            <w:pPr>
              <w:pStyle w:val="af2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100</w:t>
            </w:r>
          </w:p>
        </w:tc>
      </w:tr>
      <w:tr w:rsidR="00825971" w:rsidTr="00500867">
        <w:trPr>
          <w:trHeight w:val="1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both"/>
            </w:pPr>
            <w: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ind w:right="-108"/>
            </w:pPr>
            <w:r>
              <w:t>Доля общеобразовательных учреждений, отвечающих санитарно-гигиеническим нормам, от общего количества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5971" w:rsidRDefault="00825971" w:rsidP="00500867">
            <w:pPr>
              <w:pStyle w:val="af2"/>
              <w:jc w:val="center"/>
            </w:pPr>
            <w: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5971" w:rsidRDefault="00825971" w:rsidP="0050086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1" w:rsidRDefault="00825971" w:rsidP="00500867">
            <w:pPr>
              <w:jc w:val="center"/>
            </w:pPr>
          </w:p>
          <w:p w:rsidR="00825971" w:rsidRDefault="00825971" w:rsidP="00500867">
            <w:pPr>
              <w:jc w:val="center"/>
            </w:pPr>
          </w:p>
          <w:p w:rsidR="00825971" w:rsidRDefault="00825971" w:rsidP="00500867">
            <w:pPr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971" w:rsidRDefault="00825971" w:rsidP="00500867">
            <w:pPr>
              <w:jc w:val="center"/>
            </w:pPr>
          </w:p>
          <w:p w:rsidR="00825971" w:rsidRDefault="00825971" w:rsidP="00500867">
            <w:pPr>
              <w:jc w:val="center"/>
            </w:pPr>
          </w:p>
          <w:p w:rsidR="00825971" w:rsidRDefault="00825971" w:rsidP="00500867">
            <w:pPr>
              <w:jc w:val="center"/>
            </w:pPr>
            <w:r>
              <w:t>100</w:t>
            </w:r>
          </w:p>
        </w:tc>
      </w:tr>
    </w:tbl>
    <w:p w:rsidR="00F634D1" w:rsidRDefault="008128A5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100" w:firstLin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825971" w:rsidRPr="00E4613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300" w:firstLine="783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sz w:val="26"/>
          <w:szCs w:val="26"/>
          <w:lang w:eastAsia="ru-RU"/>
        </w:rPr>
        <w:t>3.3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Этапы и сроки реализации </w:t>
      </w:r>
      <w:r w:rsidRPr="00E461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№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</w:p>
    <w:p w:rsidR="0082597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2597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Этапы и сроки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реализации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 № 4 </w:t>
      </w:r>
      <w:r>
        <w:rPr>
          <w:rFonts w:ascii="Times New Roman" w:hAnsi="Times New Roman"/>
          <w:bCs/>
          <w:sz w:val="24"/>
          <w:szCs w:val="24"/>
        </w:rPr>
        <w:t xml:space="preserve">представлены в пункте 9 Паспорта  </w:t>
      </w:r>
      <w:r>
        <w:rPr>
          <w:rFonts w:ascii="Times New Roman" w:hAnsi="Times New Roman"/>
          <w:bCs/>
          <w:sz w:val="24"/>
          <w:szCs w:val="24"/>
          <w:lang w:eastAsia="ru-RU"/>
        </w:rPr>
        <w:t>подпрограммы № 4</w:t>
      </w:r>
    </w:p>
    <w:p w:rsidR="0082597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825971" w:rsidRPr="00E4613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3.4  Ресурсное обеспечение подпрограммы </w:t>
      </w:r>
      <w:r w:rsidRPr="00E46131">
        <w:rPr>
          <w:rFonts w:ascii="Times New Roman" w:hAnsi="Times New Roman"/>
          <w:b/>
          <w:bCs/>
          <w:sz w:val="26"/>
          <w:szCs w:val="26"/>
        </w:rPr>
        <w:t xml:space="preserve"> №</w:t>
      </w:r>
      <w:r>
        <w:rPr>
          <w:rFonts w:ascii="Times New Roman" w:hAnsi="Times New Roman"/>
          <w:b/>
          <w:bCs/>
          <w:sz w:val="26"/>
          <w:szCs w:val="26"/>
        </w:rPr>
        <w:t xml:space="preserve"> 4</w:t>
      </w:r>
    </w:p>
    <w:p w:rsidR="0082597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82597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Ресурсное обеспечение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 w:rsidR="00632E18">
        <w:rPr>
          <w:rFonts w:ascii="Times New Roman" w:hAnsi="Times New Roman"/>
          <w:bCs/>
          <w:sz w:val="24"/>
          <w:szCs w:val="24"/>
        </w:rPr>
        <w:t xml:space="preserve"> № 4 представлено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в приложении №1 к    муниципальной  программе</w:t>
      </w:r>
    </w:p>
    <w:p w:rsidR="0082597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825971" w:rsidRPr="00E4613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2"/>
        <w:jc w:val="center"/>
        <w:rPr>
          <w:rFonts w:ascii="Times New Roman" w:hAnsi="Times New Roman"/>
          <w:b/>
          <w:bCs/>
          <w:sz w:val="26"/>
          <w:szCs w:val="26"/>
        </w:rPr>
      </w:pP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>3.5</w:t>
      </w:r>
      <w:r w:rsidRPr="00E46131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Ожидаемые результаты реализации </w:t>
      </w:r>
      <w:r w:rsidRPr="00E461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4613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подпрограммы №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4</w:t>
      </w:r>
    </w:p>
    <w:p w:rsidR="0082597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82597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5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Ожидаемые результаты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подпрограммы </w:t>
      </w:r>
      <w:r>
        <w:rPr>
          <w:rFonts w:ascii="Times New Roman" w:hAnsi="Times New Roman"/>
          <w:bCs/>
          <w:sz w:val="24"/>
          <w:szCs w:val="24"/>
        </w:rPr>
        <w:t xml:space="preserve">№ 4  представлены в пункте 13 к  Паспорту  муниципальной программы  </w:t>
      </w:r>
    </w:p>
    <w:p w:rsidR="00825971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Chars="200" w:firstLine="480"/>
        <w:jc w:val="both"/>
        <w:rPr>
          <w:rFonts w:ascii="Times New Roman" w:hAnsi="Times New Roman"/>
          <w:bCs/>
          <w:sz w:val="24"/>
          <w:szCs w:val="24"/>
        </w:rPr>
      </w:pPr>
    </w:p>
    <w:p w:rsidR="00825971" w:rsidRDefault="00825971" w:rsidP="00825971">
      <w:pPr>
        <w:tabs>
          <w:tab w:val="left" w:pos="567"/>
        </w:tabs>
        <w:autoSpaceDE w:val="0"/>
        <w:autoSpaceDN w:val="0"/>
        <w:adjustRightInd w:val="0"/>
        <w:ind w:left="720"/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825971" w:rsidRPr="00E46131" w:rsidRDefault="00825971" w:rsidP="00825971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 xml:space="preserve">. </w:t>
      </w:r>
      <w:r w:rsidRPr="00474387">
        <w:rPr>
          <w:b/>
          <w:bCs/>
          <w:sz w:val="26"/>
          <w:szCs w:val="26"/>
        </w:rPr>
        <w:t xml:space="preserve">Механизм реализации  </w:t>
      </w:r>
      <w:r w:rsidRPr="00474387">
        <w:rPr>
          <w:b/>
          <w:bCs/>
        </w:rPr>
        <w:t xml:space="preserve">  подпрограммы №</w:t>
      </w:r>
      <w:r>
        <w:rPr>
          <w:b/>
          <w:bCs/>
        </w:rPr>
        <w:t xml:space="preserve"> 4</w:t>
      </w:r>
    </w:p>
    <w:p w:rsidR="00825971" w:rsidRDefault="00825971" w:rsidP="00825971">
      <w:pPr>
        <w:tabs>
          <w:tab w:val="left" w:pos="284"/>
        </w:tabs>
        <w:autoSpaceDE w:val="0"/>
        <w:autoSpaceDN w:val="0"/>
        <w:adjustRightInd w:val="0"/>
        <w:ind w:firstLineChars="200" w:firstLine="522"/>
        <w:contextualSpacing/>
        <w:jc w:val="both"/>
        <w:rPr>
          <w:b/>
          <w:sz w:val="26"/>
          <w:szCs w:val="26"/>
        </w:rPr>
      </w:pPr>
    </w:p>
    <w:p w:rsidR="00825971" w:rsidRPr="00474387" w:rsidRDefault="00825971" w:rsidP="00825971">
      <w:p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Pr="00474387">
        <w:rPr>
          <w:bCs/>
          <w:sz w:val="26"/>
          <w:szCs w:val="26"/>
        </w:rPr>
        <w:t xml:space="preserve">Механизм реализации  </w:t>
      </w:r>
      <w:r w:rsidRPr="00474387">
        <w:rPr>
          <w:bCs/>
        </w:rPr>
        <w:t xml:space="preserve">  подпрограммы </w:t>
      </w:r>
      <w:r>
        <w:rPr>
          <w:bCs/>
        </w:rPr>
        <w:t xml:space="preserve"> </w:t>
      </w:r>
      <w:r w:rsidRPr="00474387">
        <w:rPr>
          <w:bCs/>
        </w:rPr>
        <w:t>№</w:t>
      </w:r>
      <w:r>
        <w:rPr>
          <w:bCs/>
        </w:rPr>
        <w:t>4</w:t>
      </w:r>
      <w:r w:rsidRPr="00474387">
        <w:rPr>
          <w:bCs/>
        </w:rPr>
        <w:t xml:space="preserve"> представлен в пункте </w:t>
      </w:r>
      <w:r w:rsidRPr="00474387">
        <w:rPr>
          <w:sz w:val="26"/>
          <w:szCs w:val="26"/>
        </w:rPr>
        <w:t xml:space="preserve"> </w:t>
      </w:r>
      <w:r w:rsidRPr="00474387">
        <w:rPr>
          <w:sz w:val="26"/>
          <w:szCs w:val="26"/>
          <w:lang w:val="en-US"/>
        </w:rPr>
        <w:t>IV</w:t>
      </w:r>
      <w:r w:rsidRPr="00474387">
        <w:rPr>
          <w:sz w:val="26"/>
          <w:szCs w:val="26"/>
        </w:rPr>
        <w:t xml:space="preserve"> муниципальной программы.</w:t>
      </w:r>
    </w:p>
    <w:p w:rsidR="00825971" w:rsidRPr="00474387" w:rsidRDefault="00825971" w:rsidP="00825971">
      <w:pPr>
        <w:pStyle w:val="1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F634D1" w:rsidRDefault="00F634D1" w:rsidP="00DA0F6C">
      <w:pPr>
        <w:tabs>
          <w:tab w:val="left" w:pos="284"/>
        </w:tabs>
        <w:autoSpaceDE w:val="0"/>
        <w:autoSpaceDN w:val="0"/>
        <w:adjustRightInd w:val="0"/>
        <w:ind w:firstLineChars="200" w:firstLine="522"/>
        <w:contextualSpacing/>
        <w:jc w:val="both"/>
        <w:rPr>
          <w:b/>
          <w:sz w:val="26"/>
          <w:szCs w:val="26"/>
        </w:rPr>
      </w:pPr>
    </w:p>
    <w:p w:rsidR="00F634D1" w:rsidRDefault="00F634D1">
      <w:pPr>
        <w:pStyle w:val="af2"/>
        <w:spacing w:before="0" w:beforeAutospacing="0" w:after="0" w:afterAutospacing="0"/>
        <w:ind w:firstLine="567"/>
        <w:jc w:val="both"/>
      </w:pPr>
    </w:p>
    <w:p w:rsidR="00F634D1" w:rsidRDefault="00F634D1">
      <w:pPr>
        <w:tabs>
          <w:tab w:val="left" w:pos="904"/>
        </w:tabs>
      </w:pPr>
    </w:p>
    <w:p w:rsidR="00F634D1" w:rsidRDefault="00F634D1">
      <w:pPr>
        <w:pStyle w:val="af2"/>
        <w:spacing w:before="0" w:beforeAutospacing="0" w:after="0" w:afterAutospacing="0" w:line="360" w:lineRule="auto"/>
        <w:ind w:firstLine="567"/>
        <w:jc w:val="both"/>
        <w:rPr>
          <w:b/>
        </w:rPr>
      </w:pPr>
    </w:p>
    <w:p w:rsidR="00F634D1" w:rsidRDefault="00F634D1"/>
    <w:p w:rsidR="00F634D1" w:rsidRDefault="00F634D1">
      <w:pPr>
        <w:pStyle w:val="af2"/>
        <w:spacing w:before="0" w:beforeAutospacing="0" w:after="0" w:afterAutospacing="0"/>
        <w:jc w:val="right"/>
      </w:pPr>
    </w:p>
    <w:p w:rsidR="00F634D1" w:rsidRDefault="00F634D1">
      <w:pPr>
        <w:pStyle w:val="af2"/>
        <w:spacing w:before="0" w:beforeAutospacing="0" w:after="0" w:afterAutospacing="0"/>
        <w:jc w:val="right"/>
      </w:pPr>
    </w:p>
    <w:p w:rsidR="00F634D1" w:rsidRDefault="00F634D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F634D1" w:rsidRDefault="00F634D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F634D1" w:rsidRDefault="00F634D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F634D1" w:rsidRDefault="00F634D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F634D1" w:rsidRDefault="00F634D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F634D1" w:rsidRDefault="00F634D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F634D1" w:rsidRDefault="00F634D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F634D1" w:rsidRDefault="00F634D1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sz w:val="26"/>
          <w:szCs w:val="26"/>
        </w:rPr>
      </w:pPr>
    </w:p>
    <w:p w:rsidR="00F634D1" w:rsidRDefault="00F634D1"/>
    <w:p w:rsidR="00F634D1" w:rsidRDefault="008128A5">
      <w:pPr>
        <w:jc w:val="both"/>
      </w:pPr>
      <w:r>
        <w:t xml:space="preserve">     </w:t>
      </w:r>
    </w:p>
    <w:p w:rsidR="00F634D1" w:rsidRDefault="008128A5">
      <w:pPr>
        <w:jc w:val="both"/>
      </w:pPr>
      <w:r>
        <w:t xml:space="preserve">           </w:t>
      </w:r>
    </w:p>
    <w:p w:rsidR="00F634D1" w:rsidRDefault="00F634D1">
      <w:pPr>
        <w:jc w:val="right"/>
        <w:rPr>
          <w:bCs/>
          <w:sz w:val="26"/>
          <w:szCs w:val="26"/>
        </w:rPr>
      </w:pPr>
    </w:p>
    <w:p w:rsidR="00F634D1" w:rsidRDefault="00F634D1">
      <w:pPr>
        <w:jc w:val="right"/>
        <w:rPr>
          <w:bCs/>
          <w:sz w:val="26"/>
          <w:szCs w:val="26"/>
        </w:rPr>
      </w:pPr>
    </w:p>
    <w:p w:rsidR="00F634D1" w:rsidRDefault="00F634D1">
      <w:pPr>
        <w:jc w:val="right"/>
        <w:rPr>
          <w:bCs/>
          <w:sz w:val="26"/>
          <w:szCs w:val="26"/>
        </w:rPr>
      </w:pPr>
    </w:p>
    <w:sectPr w:rsidR="00F634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1" w:bottom="709" w:left="1418" w:header="426" w:footer="709" w:gutter="0"/>
      <w:pgNumType w:start="3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0E" w:rsidRDefault="008128A5">
      <w:r>
        <w:separator/>
      </w:r>
    </w:p>
  </w:endnote>
  <w:endnote w:type="continuationSeparator" w:id="0">
    <w:p w:rsidR="00DD440E" w:rsidRDefault="0081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D1" w:rsidRDefault="00F634D1">
    <w:pPr>
      <w:pStyle w:val="af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D1" w:rsidRDefault="00F634D1">
    <w:pPr>
      <w:pStyle w:val="af0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D1" w:rsidRDefault="00F634D1">
    <w:pPr>
      <w:pStyle w:val="af0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0E" w:rsidRDefault="008128A5">
      <w:r>
        <w:separator/>
      </w:r>
    </w:p>
  </w:footnote>
  <w:footnote w:type="continuationSeparator" w:id="0">
    <w:p w:rsidR="00DD440E" w:rsidRDefault="00812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D1" w:rsidRDefault="008128A5">
    <w:pPr>
      <w:pStyle w:val="ac"/>
      <w:jc w:val="center"/>
      <w:rPr>
        <w:sz w:val="19"/>
        <w:szCs w:val="19"/>
      </w:rPr>
    </w:pPr>
    <w:r>
      <w:rPr>
        <w:sz w:val="19"/>
        <w:szCs w:val="19"/>
      </w:rPr>
      <w:fldChar w:fldCharType="begin"/>
    </w:r>
    <w:r>
      <w:rPr>
        <w:sz w:val="19"/>
        <w:szCs w:val="19"/>
      </w:rPr>
      <w:instrText>PAGE   \* MERGEFORMAT</w:instrText>
    </w:r>
    <w:r>
      <w:rPr>
        <w:sz w:val="19"/>
        <w:szCs w:val="19"/>
      </w:rPr>
      <w:fldChar w:fldCharType="separate"/>
    </w:r>
    <w:r>
      <w:rPr>
        <w:sz w:val="19"/>
        <w:szCs w:val="19"/>
      </w:rPr>
      <w:t>16</w:t>
    </w:r>
    <w:r>
      <w:rPr>
        <w:sz w:val="19"/>
        <w:szCs w:val="19"/>
      </w:rPr>
      <w:fldChar w:fldCharType="end"/>
    </w:r>
  </w:p>
  <w:p w:rsidR="00F634D1" w:rsidRDefault="00F634D1">
    <w:pPr>
      <w:pStyle w:val="ac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D1" w:rsidRDefault="00F634D1">
    <w:pPr>
      <w:pStyle w:val="ac"/>
      <w:rPr>
        <w:sz w:val="19"/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4D1" w:rsidRDefault="00F634D1">
    <w:pPr>
      <w:pStyle w:val="ac"/>
      <w:jc w:val="center"/>
      <w:rPr>
        <w:sz w:val="19"/>
        <w:szCs w:val="19"/>
      </w:rPr>
    </w:pPr>
  </w:p>
  <w:p w:rsidR="00F634D1" w:rsidRDefault="00F634D1">
    <w:pPr>
      <w:pStyle w:val="ac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98A3"/>
    <w:multiLevelType w:val="singleLevel"/>
    <w:tmpl w:val="268898A3"/>
    <w:lvl w:ilvl="0">
      <w:start w:val="1"/>
      <w:numFmt w:val="decimal"/>
      <w:suff w:val="space"/>
      <w:lvlText w:val="%1)"/>
      <w:lvlJc w:val="left"/>
    </w:lvl>
  </w:abstractNum>
  <w:abstractNum w:abstractNumId="1">
    <w:nsid w:val="5436963E"/>
    <w:multiLevelType w:val="singleLevel"/>
    <w:tmpl w:val="5436963E"/>
    <w:lvl w:ilvl="0">
      <w:start w:val="1"/>
      <w:numFmt w:val="upperRoman"/>
      <w:suff w:val="space"/>
      <w:lvlText w:val="%1."/>
      <w:lvlJc w:val="left"/>
      <w:pPr>
        <w:ind w:left="4318" w:firstLine="0"/>
      </w:pPr>
    </w:lvl>
  </w:abstractNum>
  <w:abstractNum w:abstractNumId="2">
    <w:nsid w:val="59E87310"/>
    <w:multiLevelType w:val="multilevel"/>
    <w:tmpl w:val="59E8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260"/>
  <w:drawingGridVerticalSpacing w:val="70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265"/>
    <w:rsid w:val="00014FC9"/>
    <w:rsid w:val="00041AB9"/>
    <w:rsid w:val="00063485"/>
    <w:rsid w:val="00072C64"/>
    <w:rsid w:val="000A3463"/>
    <w:rsid w:val="000D2820"/>
    <w:rsid w:val="000F7501"/>
    <w:rsid w:val="00105BAC"/>
    <w:rsid w:val="0015586E"/>
    <w:rsid w:val="0018654C"/>
    <w:rsid w:val="00195867"/>
    <w:rsid w:val="001F4768"/>
    <w:rsid w:val="00207F18"/>
    <w:rsid w:val="002639B3"/>
    <w:rsid w:val="00272C02"/>
    <w:rsid w:val="00285194"/>
    <w:rsid w:val="00292DBC"/>
    <w:rsid w:val="0029466F"/>
    <w:rsid w:val="002C1E37"/>
    <w:rsid w:val="002D43A6"/>
    <w:rsid w:val="002E4EED"/>
    <w:rsid w:val="00304B27"/>
    <w:rsid w:val="00345AA4"/>
    <w:rsid w:val="00353630"/>
    <w:rsid w:val="00355209"/>
    <w:rsid w:val="00393A15"/>
    <w:rsid w:val="00397DF1"/>
    <w:rsid w:val="003B4BA2"/>
    <w:rsid w:val="003C63F6"/>
    <w:rsid w:val="003D0237"/>
    <w:rsid w:val="003E1643"/>
    <w:rsid w:val="003F65D4"/>
    <w:rsid w:val="00435660"/>
    <w:rsid w:val="00482207"/>
    <w:rsid w:val="0049515E"/>
    <w:rsid w:val="004B7422"/>
    <w:rsid w:val="004E1D9A"/>
    <w:rsid w:val="004F3E7F"/>
    <w:rsid w:val="00502370"/>
    <w:rsid w:val="00590660"/>
    <w:rsid w:val="005A4DF5"/>
    <w:rsid w:val="00632E18"/>
    <w:rsid w:val="00651C6D"/>
    <w:rsid w:val="00653F79"/>
    <w:rsid w:val="00675B5E"/>
    <w:rsid w:val="006A45DB"/>
    <w:rsid w:val="006B73F5"/>
    <w:rsid w:val="006C2F4E"/>
    <w:rsid w:val="00705963"/>
    <w:rsid w:val="00745F6A"/>
    <w:rsid w:val="0075587F"/>
    <w:rsid w:val="00774EE6"/>
    <w:rsid w:val="007B5233"/>
    <w:rsid w:val="007C04EA"/>
    <w:rsid w:val="008119D1"/>
    <w:rsid w:val="008128A5"/>
    <w:rsid w:val="00825971"/>
    <w:rsid w:val="008277FA"/>
    <w:rsid w:val="00855072"/>
    <w:rsid w:val="0087454E"/>
    <w:rsid w:val="00876B06"/>
    <w:rsid w:val="008B45DE"/>
    <w:rsid w:val="008B695D"/>
    <w:rsid w:val="008C00CB"/>
    <w:rsid w:val="008D0C65"/>
    <w:rsid w:val="008D261B"/>
    <w:rsid w:val="00916BC4"/>
    <w:rsid w:val="00922A5D"/>
    <w:rsid w:val="00943CCD"/>
    <w:rsid w:val="009636DB"/>
    <w:rsid w:val="00986F07"/>
    <w:rsid w:val="00987C98"/>
    <w:rsid w:val="009A7980"/>
    <w:rsid w:val="00A0307E"/>
    <w:rsid w:val="00A21265"/>
    <w:rsid w:val="00A77F8C"/>
    <w:rsid w:val="00A94D10"/>
    <w:rsid w:val="00AC76D9"/>
    <w:rsid w:val="00AE1635"/>
    <w:rsid w:val="00AE4AEF"/>
    <w:rsid w:val="00B17B68"/>
    <w:rsid w:val="00B31B16"/>
    <w:rsid w:val="00B62FED"/>
    <w:rsid w:val="00B6683C"/>
    <w:rsid w:val="00B9754C"/>
    <w:rsid w:val="00BD1D6A"/>
    <w:rsid w:val="00BD3278"/>
    <w:rsid w:val="00BE73EC"/>
    <w:rsid w:val="00BE7E4B"/>
    <w:rsid w:val="00C31817"/>
    <w:rsid w:val="00C3286C"/>
    <w:rsid w:val="00C524C0"/>
    <w:rsid w:val="00C66C75"/>
    <w:rsid w:val="00C73D11"/>
    <w:rsid w:val="00C81EF2"/>
    <w:rsid w:val="00CC399E"/>
    <w:rsid w:val="00D01059"/>
    <w:rsid w:val="00D105A1"/>
    <w:rsid w:val="00D14540"/>
    <w:rsid w:val="00D14921"/>
    <w:rsid w:val="00D63CCF"/>
    <w:rsid w:val="00D67F22"/>
    <w:rsid w:val="00D92212"/>
    <w:rsid w:val="00DA0F6C"/>
    <w:rsid w:val="00DB4D5F"/>
    <w:rsid w:val="00DD440E"/>
    <w:rsid w:val="00DE5043"/>
    <w:rsid w:val="00DF1415"/>
    <w:rsid w:val="00E44E9E"/>
    <w:rsid w:val="00EB0EA0"/>
    <w:rsid w:val="00EB5BB3"/>
    <w:rsid w:val="00F600B9"/>
    <w:rsid w:val="00F634D1"/>
    <w:rsid w:val="00F659DB"/>
    <w:rsid w:val="00F84FF4"/>
    <w:rsid w:val="00FA38F3"/>
    <w:rsid w:val="00FA4346"/>
    <w:rsid w:val="17482EC4"/>
    <w:rsid w:val="48794C33"/>
    <w:rsid w:val="7B764887"/>
    <w:rsid w:val="7FFA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nhideWhenUsed="0" w:qFormat="1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Indent 2" w:qFormat="1"/>
    <w:lsdException w:name="Body Text Indent 3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semiHidden="0" w:uiPriority="0" w:unhideWhenUsed="0" w:qFormat="1"/>
    <w:lsdException w:name="Balloon Text" w:semiHidden="0" w:uiPriority="0" w:unhideWhenUsed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6"/>
      <w:szCs w:val="16"/>
    </w:rPr>
  </w:style>
  <w:style w:type="character" w:styleId="a4">
    <w:name w:val="Hyperlink"/>
    <w:uiPriority w:val="99"/>
    <w:unhideWhenUsed/>
    <w:qFormat/>
    <w:rPr>
      <w:color w:val="0000FF"/>
      <w:u w:val="single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a8">
    <w:name w:val="annotation text"/>
    <w:basedOn w:val="a"/>
    <w:link w:val="a9"/>
    <w:qFormat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Pr>
      <w:b/>
      <w:bCs/>
    </w:rPr>
  </w:style>
  <w:style w:type="paragraph" w:styleId="ac">
    <w:name w:val="header"/>
    <w:basedOn w:val="a"/>
    <w:link w:val="ad"/>
    <w:uiPriority w:val="99"/>
    <w:qFormat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"/>
    <w:basedOn w:val="a"/>
    <w:link w:val="af"/>
    <w:qFormat/>
    <w:rPr>
      <w:sz w:val="28"/>
      <w:szCs w:val="20"/>
    </w:rPr>
  </w:style>
  <w:style w:type="paragraph" w:styleId="af0">
    <w:name w:val="footer"/>
    <w:basedOn w:val="a"/>
    <w:link w:val="af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2">
    <w:name w:val="Normal (Web)"/>
    <w:basedOn w:val="a"/>
    <w:qFormat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qFormat/>
    <w:pPr>
      <w:spacing w:after="120" w:line="480" w:lineRule="auto"/>
      <w:ind w:left="283"/>
    </w:pPr>
    <w:rPr>
      <w:sz w:val="20"/>
      <w:szCs w:val="20"/>
    </w:rPr>
  </w:style>
  <w:style w:type="table" w:styleId="af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qFormat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f4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">
    <w:name w:val="Основной текст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87">
    <w:name w:val="Font Style87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Текст примечания Знак"/>
    <w:basedOn w:val="a0"/>
    <w:link w:val="a8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a"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6"/>
    <w:qFormat/>
    <w:rPr>
      <w:rFonts w:ascii="Tahoma" w:eastAsia="Times New Roman" w:hAnsi="Tahoma" w:cs="Times New Roman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qFormat/>
    <w:pPr>
      <w:widowControl w:val="0"/>
      <w:autoSpaceDE w:val="0"/>
      <w:autoSpaceDN w:val="0"/>
      <w:adjustRightInd w:val="0"/>
      <w:spacing w:line="269" w:lineRule="exact"/>
      <w:ind w:firstLine="778"/>
    </w:pPr>
  </w:style>
  <w:style w:type="character" w:customStyle="1" w:styleId="FontStyle11">
    <w:name w:val="Font Style11"/>
    <w:uiPriority w:val="99"/>
    <w:qFormat/>
    <w:rPr>
      <w:rFonts w:ascii="Times New Roman" w:hAnsi="Times New Roman" w:cs="Times New Roman" w:hint="default"/>
      <w:sz w:val="22"/>
      <w:szCs w:val="22"/>
    </w:rPr>
  </w:style>
  <w:style w:type="character" w:customStyle="1" w:styleId="13pt">
    <w:name w:val="Основной текст + 13 pt"/>
    <w:qFormat/>
    <w:rPr>
      <w:sz w:val="26"/>
      <w:szCs w:val="26"/>
      <w:lang w:bidi="ar-SA"/>
    </w:rPr>
  </w:style>
  <w:style w:type="character" w:customStyle="1" w:styleId="12">
    <w:name w:val="Основной текст + 12"/>
    <w:qFormat/>
    <w:rPr>
      <w:spacing w:val="5"/>
      <w:sz w:val="25"/>
      <w:szCs w:val="25"/>
      <w:lang w:bidi="ar-SA"/>
    </w:rPr>
  </w:style>
  <w:style w:type="character" w:customStyle="1" w:styleId="14pt">
    <w:name w:val="Основной текст + 14 pt"/>
    <w:qFormat/>
    <w:rPr>
      <w:sz w:val="28"/>
      <w:szCs w:val="28"/>
      <w:lang w:bidi="ar-SA"/>
    </w:rPr>
  </w:style>
  <w:style w:type="character" w:customStyle="1" w:styleId="14pt1">
    <w:name w:val="Основной текст + 14 pt1"/>
    <w:rPr>
      <w:i/>
      <w:iCs/>
      <w:sz w:val="28"/>
      <w:szCs w:val="28"/>
      <w:lang w:bidi="ar-SA"/>
    </w:rPr>
  </w:style>
  <w:style w:type="character" w:customStyle="1" w:styleId="FontStyle83">
    <w:name w:val="Font Style83"/>
    <w:qFormat/>
    <w:rPr>
      <w:rFonts w:ascii="Times New Roman" w:hAnsi="Times New Roman" w:cs="Times New Roman"/>
      <w:sz w:val="26"/>
      <w:szCs w:val="26"/>
    </w:rPr>
  </w:style>
  <w:style w:type="paragraph" w:customStyle="1" w:styleId="af5">
    <w:name w:val="Таблицы (моноширинный)"/>
    <w:basedOn w:val="a"/>
    <w:next w:val="a"/>
    <w:qFormat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6"/>
      <w:szCs w:val="26"/>
    </w:rPr>
  </w:style>
  <w:style w:type="paragraph" w:customStyle="1" w:styleId="Style62">
    <w:name w:val="Style62"/>
    <w:basedOn w:val="a"/>
    <w:qFormat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ConsPlusCell">
    <w:name w:val="ConsPlusCell"/>
    <w:link w:val="ConsPlusCell0"/>
    <w:qFormat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Cell0">
    <w:name w:val="ConsPlusCell Знак"/>
    <w:link w:val="ConsPlusCell"/>
    <w:qFormat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4FE6C-3B16-4D6F-A54A-29D4104B3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1</cp:lastModifiedBy>
  <cp:revision>77</cp:revision>
  <cp:lastPrinted>2023-11-13T20:26:00Z</cp:lastPrinted>
  <dcterms:created xsi:type="dcterms:W3CDTF">2020-10-20T08:10:00Z</dcterms:created>
  <dcterms:modified xsi:type="dcterms:W3CDTF">2023-11-17T09:03:00Z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83820508F81D40518B25EBB39488995F_12</vt:lpwstr>
  </property>
</Properties>
</file>