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F5" w:rsidRDefault="00532E7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ab/>
      </w:r>
    </w:p>
    <w:p w:rsidR="008A6CF5" w:rsidRDefault="00532E75">
      <w:pPr>
        <w:autoSpaceDE w:val="0"/>
        <w:autoSpaceDN w:val="0"/>
        <w:adjustRightInd w:val="0"/>
        <w:jc w:val="right"/>
      </w:pPr>
      <w:r>
        <w:t>Приложение № 3</w:t>
      </w:r>
    </w:p>
    <w:p w:rsidR="008A6CF5" w:rsidRDefault="00532E75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8A6CF5" w:rsidRDefault="008A6CF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A6CF5" w:rsidRDefault="008A6CF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A6CF5" w:rsidRDefault="00532E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№3 «Развитие  системы дополнительного образования детей в Алагирском муниципальном районе на 2024-2026 годы»</w:t>
      </w:r>
    </w:p>
    <w:p w:rsidR="008A6CF5" w:rsidRDefault="00532E7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 далее - подпрограмма №3)</w:t>
      </w:r>
    </w:p>
    <w:p w:rsidR="008A6CF5" w:rsidRDefault="008A6CF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6CF5" w:rsidRDefault="00532E75">
      <w:pPr>
        <w:autoSpaceDE w:val="0"/>
        <w:autoSpaceDN w:val="0"/>
        <w:adjustRightInd w:val="0"/>
        <w:jc w:val="center"/>
      </w:pPr>
      <w:r>
        <w:rPr>
          <w:b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. Паспорт   подпрограммы №3</w:t>
      </w:r>
    </w:p>
    <w:p w:rsidR="008A6CF5" w:rsidRDefault="008A6C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7846"/>
      </w:tblGrid>
      <w:tr w:rsidR="008A6CF5">
        <w:tc>
          <w:tcPr>
            <w:tcW w:w="567" w:type="dxa"/>
          </w:tcPr>
          <w:p w:rsidR="008A6CF5" w:rsidRDefault="008A6CF5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 w:firstLine="0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 xml:space="preserve">Наименование   подпрограммы </w:t>
            </w:r>
            <w:r>
              <w:rPr>
                <w:bCs/>
                <w:sz w:val="26"/>
                <w:szCs w:val="26"/>
              </w:rPr>
              <w:t>№3</w:t>
            </w:r>
            <w:r>
              <w:t xml:space="preserve"> </w:t>
            </w:r>
          </w:p>
        </w:tc>
        <w:tc>
          <w:tcPr>
            <w:tcW w:w="7846" w:type="dxa"/>
          </w:tcPr>
          <w:p w:rsidR="008A6CF5" w:rsidRDefault="00532E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 системы дополнительного образования детей в Алагирском муниципальном районе на 2024-2026 годы»</w:t>
            </w:r>
          </w:p>
        </w:tc>
      </w:tr>
      <w:tr w:rsidR="008A6CF5">
        <w:tc>
          <w:tcPr>
            <w:tcW w:w="567" w:type="dxa"/>
          </w:tcPr>
          <w:p w:rsidR="008A6CF5" w:rsidRDefault="00532E75">
            <w:pPr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Основание для разработки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</w:t>
            </w:r>
            <w:r>
              <w:rPr>
                <w:bCs/>
              </w:rPr>
              <w:t xml:space="preserve"> </w:t>
            </w:r>
            <w:proofErr w:type="gramEnd"/>
          </w:p>
          <w:p w:rsidR="008A6CF5" w:rsidRDefault="008A6CF5">
            <w:pPr>
              <w:jc w:val="both"/>
            </w:pPr>
          </w:p>
        </w:tc>
      </w:tr>
      <w:tr w:rsidR="008A6CF5">
        <w:tc>
          <w:tcPr>
            <w:tcW w:w="567" w:type="dxa"/>
          </w:tcPr>
          <w:p w:rsidR="008A6CF5" w:rsidRDefault="00532E75">
            <w:pPr>
              <w:jc w:val="center"/>
            </w:pPr>
            <w:r>
              <w:t>3.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Разработчик 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sz w:val="26"/>
                <w:szCs w:val="26"/>
              </w:rPr>
            </w:pPr>
            <w:r>
              <w:t xml:space="preserve">Управление    образования  администрации 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</w:tc>
      </w:tr>
      <w:tr w:rsidR="008A6CF5">
        <w:tc>
          <w:tcPr>
            <w:tcW w:w="567" w:type="dxa"/>
          </w:tcPr>
          <w:p w:rsidR="008A6CF5" w:rsidRDefault="00532E75">
            <w:pPr>
              <w:jc w:val="center"/>
            </w:pPr>
            <w:r>
              <w:t>4.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Ответственный исполнитель  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образования  администрации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района; </w:t>
            </w:r>
          </w:p>
          <w:p w:rsidR="008A6CF5" w:rsidRDefault="008A6C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F5">
        <w:tc>
          <w:tcPr>
            <w:tcW w:w="567" w:type="dxa"/>
          </w:tcPr>
          <w:p w:rsidR="008A6CF5" w:rsidRDefault="00532E75">
            <w:pPr>
              <w:jc w:val="center"/>
            </w:pPr>
            <w:r>
              <w:t>5.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Соисполнители 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 организации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8A6CF5">
        <w:trPr>
          <w:trHeight w:val="835"/>
        </w:trPr>
        <w:tc>
          <w:tcPr>
            <w:tcW w:w="567" w:type="dxa"/>
          </w:tcPr>
          <w:p w:rsidR="008A6CF5" w:rsidRDefault="00532E75">
            <w:pPr>
              <w:jc w:val="center"/>
            </w:pPr>
            <w:r>
              <w:t>6.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Участники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 организации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8A6CF5">
        <w:trPr>
          <w:trHeight w:val="431"/>
        </w:trPr>
        <w:tc>
          <w:tcPr>
            <w:tcW w:w="567" w:type="dxa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7.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Цели и основные задачи 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ind w:left="-108" w:right="-14"/>
            </w:pPr>
            <w:r>
              <w:t xml:space="preserve">     - создание</w:t>
            </w:r>
            <w:r>
              <w:rPr>
                <w:bCs/>
              </w:rPr>
              <w:t xml:space="preserve"> условий  </w:t>
            </w:r>
            <w:r>
              <w:t>для получения качественного дополнительного 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      </w:r>
          </w:p>
          <w:p w:rsidR="008A6CF5" w:rsidRDefault="00532E75">
            <w:pPr>
              <w:ind w:left="-108" w:right="-14"/>
              <w:jc w:val="both"/>
            </w:pPr>
            <w:r>
              <w:rPr>
                <w:rFonts w:eastAsia="SimSun"/>
                <w:lang w:eastAsia="zh-CN"/>
              </w:rPr>
              <w:t xml:space="preserve">       - создание механизмов мотивации педагогов к повышению качества работы и непрерывному профессиональному развитию.</w:t>
            </w:r>
            <w:r>
              <w:t xml:space="preserve"> </w:t>
            </w:r>
          </w:p>
          <w:p w:rsidR="008A6CF5" w:rsidRDefault="008A6CF5">
            <w:pPr>
              <w:ind w:left="-108" w:right="-14"/>
              <w:jc w:val="both"/>
            </w:pPr>
          </w:p>
        </w:tc>
      </w:tr>
      <w:tr w:rsidR="008A6CF5">
        <w:trPr>
          <w:trHeight w:val="431"/>
        </w:trPr>
        <w:tc>
          <w:tcPr>
            <w:tcW w:w="567" w:type="dxa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8.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Целевые индикаторы  и показатели  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ind w:left="-108" w:right="-14"/>
              <w:jc w:val="both"/>
            </w:pPr>
            <w:r>
              <w:t xml:space="preserve">- охват  детей  от 5 до 18 лет программами дополнительного образования в условиях общего и дополнительного образования;          </w:t>
            </w:r>
          </w:p>
          <w:p w:rsidR="008A6CF5" w:rsidRDefault="00532E75">
            <w:pPr>
              <w:ind w:left="-108" w:right="-14"/>
              <w:jc w:val="both"/>
            </w:pPr>
            <w:r>
              <w:t xml:space="preserve">      - количество проводимых мероприятий по  направлениям детского творчества по </w:t>
            </w:r>
            <w:r>
              <w:rPr>
                <w:rFonts w:eastAsia="SimSun"/>
                <w:lang w:eastAsia="zh-CN"/>
              </w:rPr>
              <w:t xml:space="preserve">  презентации достижений обучающихся в сфере дополнительного образования.</w:t>
            </w:r>
          </w:p>
        </w:tc>
      </w:tr>
      <w:tr w:rsidR="008A6CF5">
        <w:tc>
          <w:tcPr>
            <w:tcW w:w="567" w:type="dxa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9.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 xml:space="preserve">Этапы и сроки реализации 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  <w:p w:rsidR="008A6CF5" w:rsidRDefault="008A6CF5">
            <w:pPr>
              <w:jc w:val="both"/>
            </w:pPr>
          </w:p>
        </w:tc>
        <w:tc>
          <w:tcPr>
            <w:tcW w:w="7846" w:type="dxa"/>
          </w:tcPr>
          <w:p w:rsidR="008A6CF5" w:rsidRDefault="00532E75">
            <w:pPr>
              <w:jc w:val="both"/>
            </w:pPr>
            <w:r>
              <w:t xml:space="preserve">Подпрограмма  </w:t>
            </w:r>
            <w:r>
              <w:rPr>
                <w:bCs/>
                <w:sz w:val="26"/>
                <w:szCs w:val="26"/>
              </w:rPr>
              <w:t>№3</w:t>
            </w:r>
            <w:r w:rsidR="00850FA9">
              <w:rPr>
                <w:bCs/>
                <w:sz w:val="26"/>
                <w:szCs w:val="26"/>
              </w:rPr>
              <w:t xml:space="preserve"> </w:t>
            </w:r>
            <w:r>
              <w:t>реализуется в один этап.</w:t>
            </w:r>
          </w:p>
          <w:p w:rsidR="008A6CF5" w:rsidRDefault="00532E75">
            <w:pPr>
              <w:jc w:val="both"/>
            </w:pPr>
            <w:r>
              <w:t xml:space="preserve"> Срок реализации  подпрограммы </w:t>
            </w:r>
            <w:r>
              <w:rPr>
                <w:bCs/>
                <w:sz w:val="26"/>
                <w:szCs w:val="26"/>
              </w:rPr>
              <w:t>№3</w:t>
            </w:r>
            <w:r>
              <w:t>: 2024 – 2026 годы</w:t>
            </w:r>
          </w:p>
          <w:p w:rsidR="008A6CF5" w:rsidRDefault="008A6CF5">
            <w:pPr>
              <w:jc w:val="both"/>
            </w:pPr>
          </w:p>
        </w:tc>
      </w:tr>
      <w:tr w:rsidR="008A6CF5">
        <w:tc>
          <w:tcPr>
            <w:tcW w:w="567" w:type="dxa"/>
            <w:vMerge w:val="restart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10.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</w:t>
            </w:r>
            <w:r>
              <w:rPr>
                <w:bCs/>
                <w:sz w:val="26"/>
                <w:szCs w:val="26"/>
              </w:rPr>
              <w:t xml:space="preserve">№3 </w:t>
            </w:r>
            <w:r>
              <w:t xml:space="preserve">(тысяч руб.) </w:t>
            </w:r>
            <w:r>
              <w:rPr>
                <w:b/>
              </w:rPr>
              <w:t>на 2024 год</w:t>
            </w:r>
          </w:p>
          <w:p w:rsidR="008A6CF5" w:rsidRDefault="00532E75">
            <w:pPr>
              <w:jc w:val="both"/>
            </w:pPr>
            <w:r>
              <w:t>в том числе: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</w:pPr>
            <w:r>
              <w:rPr>
                <w:lang w:eastAsia="en-US"/>
              </w:rPr>
              <w:t xml:space="preserve">Всего -  46133,0 тыс. руб., </w:t>
            </w:r>
          </w:p>
        </w:tc>
      </w:tr>
      <w:tr w:rsidR="008A6CF5">
        <w:tc>
          <w:tcPr>
            <w:tcW w:w="567" w:type="dxa"/>
            <w:vMerge/>
          </w:tcPr>
          <w:p w:rsidR="008A6CF5" w:rsidRDefault="008A6CF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44133,0 тыс. руб.</w:t>
            </w:r>
          </w:p>
          <w:p w:rsidR="008A6CF5" w:rsidRDefault="008A6CF5">
            <w:pPr>
              <w:jc w:val="both"/>
              <w:rPr>
                <w:lang w:eastAsia="en-US"/>
              </w:rPr>
            </w:pPr>
          </w:p>
        </w:tc>
      </w:tr>
      <w:tr w:rsidR="008A6CF5">
        <w:tc>
          <w:tcPr>
            <w:tcW w:w="567" w:type="dxa"/>
            <w:tcBorders>
              <w:top w:val="nil"/>
            </w:tcBorders>
          </w:tcPr>
          <w:p w:rsidR="008A6CF5" w:rsidRDefault="008A6CF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2000,0 тыс. руб.</w:t>
            </w:r>
          </w:p>
          <w:p w:rsidR="008A6CF5" w:rsidRDefault="008A6CF5">
            <w:pPr>
              <w:jc w:val="both"/>
              <w:rPr>
                <w:lang w:eastAsia="en-US"/>
              </w:rPr>
            </w:pPr>
          </w:p>
        </w:tc>
      </w:tr>
      <w:tr w:rsidR="008A6CF5">
        <w:tc>
          <w:tcPr>
            <w:tcW w:w="567" w:type="dxa"/>
            <w:vMerge w:val="restart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11.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</w:t>
            </w:r>
            <w:r>
              <w:rPr>
                <w:bCs/>
                <w:sz w:val="26"/>
                <w:szCs w:val="26"/>
              </w:rPr>
              <w:t xml:space="preserve">№3 </w:t>
            </w:r>
            <w:r>
              <w:t xml:space="preserve">(тысяч руб.) </w:t>
            </w:r>
            <w:r>
              <w:rPr>
                <w:b/>
              </w:rPr>
              <w:t>на 2025 год</w:t>
            </w:r>
          </w:p>
          <w:p w:rsidR="008A6CF5" w:rsidRDefault="00532E75">
            <w:pPr>
              <w:jc w:val="both"/>
            </w:pPr>
            <w:r>
              <w:t>в том числе: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</w:pPr>
            <w:r>
              <w:rPr>
                <w:lang w:eastAsia="en-US"/>
              </w:rPr>
              <w:t xml:space="preserve">Всего -  46133,0 тыс. руб., </w:t>
            </w:r>
          </w:p>
        </w:tc>
      </w:tr>
      <w:tr w:rsidR="008A6CF5">
        <w:tc>
          <w:tcPr>
            <w:tcW w:w="567" w:type="dxa"/>
            <w:vMerge/>
          </w:tcPr>
          <w:p w:rsidR="008A6CF5" w:rsidRDefault="008A6CF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44133,0 тыс. руб.</w:t>
            </w:r>
          </w:p>
          <w:p w:rsidR="008A6CF5" w:rsidRDefault="008A6CF5">
            <w:pPr>
              <w:jc w:val="both"/>
              <w:rPr>
                <w:lang w:eastAsia="en-US"/>
              </w:rPr>
            </w:pPr>
          </w:p>
        </w:tc>
      </w:tr>
      <w:tr w:rsidR="008A6CF5">
        <w:tc>
          <w:tcPr>
            <w:tcW w:w="567" w:type="dxa"/>
            <w:vMerge/>
          </w:tcPr>
          <w:p w:rsidR="008A6CF5" w:rsidRDefault="008A6CF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2000,0 тыс. руб.</w:t>
            </w:r>
          </w:p>
          <w:p w:rsidR="008A6CF5" w:rsidRDefault="008A6CF5">
            <w:pPr>
              <w:jc w:val="both"/>
              <w:rPr>
                <w:lang w:eastAsia="en-US"/>
              </w:rPr>
            </w:pPr>
          </w:p>
        </w:tc>
      </w:tr>
      <w:tr w:rsidR="008A6CF5">
        <w:tc>
          <w:tcPr>
            <w:tcW w:w="567" w:type="dxa"/>
            <w:vMerge w:val="restart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12.</w:t>
            </w:r>
          </w:p>
        </w:tc>
        <w:tc>
          <w:tcPr>
            <w:tcW w:w="2093" w:type="dxa"/>
          </w:tcPr>
          <w:p w:rsidR="008A6CF5" w:rsidRDefault="00532E75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</w:t>
            </w:r>
            <w:r>
              <w:rPr>
                <w:bCs/>
                <w:sz w:val="26"/>
                <w:szCs w:val="26"/>
              </w:rPr>
              <w:t xml:space="preserve">№3 </w:t>
            </w:r>
            <w:r>
              <w:t xml:space="preserve">(тысяч руб.) </w:t>
            </w:r>
            <w:r>
              <w:rPr>
                <w:b/>
              </w:rPr>
              <w:t>на 2026 год</w:t>
            </w:r>
          </w:p>
          <w:p w:rsidR="008A6CF5" w:rsidRDefault="00532E75">
            <w:pPr>
              <w:jc w:val="both"/>
            </w:pPr>
            <w:r>
              <w:t>в том числе: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</w:pPr>
            <w:r>
              <w:rPr>
                <w:lang w:eastAsia="en-US"/>
              </w:rPr>
              <w:t xml:space="preserve">Всего -  46133,0 тыс. руб., </w:t>
            </w:r>
          </w:p>
        </w:tc>
      </w:tr>
      <w:tr w:rsidR="008A6CF5">
        <w:tc>
          <w:tcPr>
            <w:tcW w:w="567" w:type="dxa"/>
            <w:vMerge/>
          </w:tcPr>
          <w:p w:rsidR="008A6CF5" w:rsidRDefault="008A6CF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44133,0 тыс. руб.</w:t>
            </w:r>
          </w:p>
          <w:p w:rsidR="008A6CF5" w:rsidRDefault="008A6CF5">
            <w:pPr>
              <w:jc w:val="both"/>
              <w:rPr>
                <w:lang w:eastAsia="en-US"/>
              </w:rPr>
            </w:pPr>
          </w:p>
        </w:tc>
      </w:tr>
      <w:tr w:rsidR="008A6CF5">
        <w:tc>
          <w:tcPr>
            <w:tcW w:w="567" w:type="dxa"/>
            <w:vMerge/>
          </w:tcPr>
          <w:p w:rsidR="008A6CF5" w:rsidRDefault="008A6CF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093" w:type="dxa"/>
          </w:tcPr>
          <w:p w:rsidR="008A6CF5" w:rsidRDefault="00532E75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7846" w:type="dxa"/>
          </w:tcPr>
          <w:p w:rsidR="008A6CF5" w:rsidRDefault="00532E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2000,0 тыс. руб.</w:t>
            </w:r>
          </w:p>
          <w:p w:rsidR="008A6CF5" w:rsidRDefault="008A6CF5">
            <w:pPr>
              <w:jc w:val="both"/>
              <w:rPr>
                <w:lang w:eastAsia="en-US"/>
              </w:rPr>
            </w:pPr>
          </w:p>
        </w:tc>
      </w:tr>
      <w:tr w:rsidR="008A6CF5">
        <w:tc>
          <w:tcPr>
            <w:tcW w:w="567" w:type="dxa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13.</w:t>
            </w:r>
          </w:p>
        </w:tc>
        <w:tc>
          <w:tcPr>
            <w:tcW w:w="2093" w:type="dxa"/>
          </w:tcPr>
          <w:p w:rsidR="008A6CF5" w:rsidRDefault="00532E7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 xml:space="preserve">Ожидаемые результаты реализации подпрограммы </w:t>
            </w: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846" w:type="dxa"/>
          </w:tcPr>
          <w:p w:rsidR="008A6CF5" w:rsidRDefault="00532E7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>
              <w:t>В</w:t>
            </w:r>
            <w:r>
              <w:rPr>
                <w:sz w:val="26"/>
                <w:szCs w:val="26"/>
              </w:rPr>
              <w:t xml:space="preserve"> количественном выражении  </w:t>
            </w:r>
          </w:p>
          <w:p w:rsidR="008A6CF5" w:rsidRDefault="00532E7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охват детей услугами дополнительного образования, программами  каникулярного образовательного отдыха составит не менее 80%  от общего числа обучающихся; </w:t>
            </w:r>
          </w:p>
          <w:p w:rsidR="008A6CF5" w:rsidRDefault="00532E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В качественном выражении: </w:t>
            </w:r>
          </w:p>
          <w:p w:rsidR="008A6CF5" w:rsidRDefault="00532E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  произойдет рост качества результатов дополнительного образования;</w:t>
            </w:r>
          </w:p>
          <w:p w:rsidR="008A6CF5" w:rsidRDefault="00532E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 будут созданы условия повышения эффективности  системы дополнительного образования;</w:t>
            </w:r>
          </w:p>
          <w:p w:rsidR="008A6CF5" w:rsidRDefault="00532E7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будет сформирована   мотивация детей и молодежи к участию в реализации современных программ дополнительного образования детей  по приоритетным направлениям  и получению дальнейшего профессионального образования;</w:t>
            </w:r>
          </w:p>
          <w:p w:rsidR="008A6CF5" w:rsidRDefault="00532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 повысится  удовлетворенность населения качеством услуг дополнительного образования детей.</w:t>
            </w:r>
          </w:p>
        </w:tc>
      </w:tr>
    </w:tbl>
    <w:p w:rsidR="008A6CF5" w:rsidRDefault="008A6CF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8A6CF5" w:rsidRDefault="008A6CF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8A6CF5" w:rsidRDefault="008A6CF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E46131" w:rsidRDefault="00E4613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E46131" w:rsidRDefault="00E4613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8A6CF5" w:rsidRDefault="00532E75" w:rsidP="00532E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>
        <w:rPr>
          <w:b/>
          <w:sz w:val="26"/>
          <w:szCs w:val="26"/>
        </w:rPr>
        <w:t xml:space="preserve">. Характеристика сферы </w:t>
      </w:r>
      <w:proofErr w:type="gramStart"/>
      <w:r>
        <w:rPr>
          <w:b/>
          <w:sz w:val="26"/>
          <w:szCs w:val="26"/>
        </w:rPr>
        <w:t>реализации  подпрограммы</w:t>
      </w:r>
      <w:proofErr w:type="gramEnd"/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532E75">
        <w:rPr>
          <w:b/>
          <w:bCs/>
          <w:sz w:val="26"/>
          <w:szCs w:val="26"/>
        </w:rPr>
        <w:t>№3</w:t>
      </w:r>
    </w:p>
    <w:p w:rsidR="00E46131" w:rsidRPr="00532E75" w:rsidRDefault="00E46131" w:rsidP="00532E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6CF5" w:rsidRDefault="00532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Современное дополнительное образование  реализуется в организациях дополнительного образования, общеобразовательных школах, дошкольных учреждениях,  охватывает различные сферы деятельности и интересов – образование, культуру и искусство, физическую культуру и спорт.</w:t>
      </w:r>
    </w:p>
    <w:p w:rsidR="008A6CF5" w:rsidRDefault="00532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Дополнительное образование детей выполняет  функцию компенсации недостатков школьного образования, его дополнения недостающими элементами.</w:t>
      </w:r>
    </w:p>
    <w:p w:rsidR="008A6CF5" w:rsidRDefault="00532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Фактически оно является инновационной площадкой для отработки образовательных моделей и технологий будущего.</w:t>
      </w:r>
    </w:p>
    <w:p w:rsidR="008A6CF5" w:rsidRDefault="00532E75">
      <w:pPr>
        <w:tabs>
          <w:tab w:val="left" w:pos="1418"/>
        </w:tabs>
        <w:autoSpaceDE w:val="0"/>
        <w:autoSpaceDN w:val="0"/>
        <w:adjustRightInd w:val="0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Дополнительное образование не является обязательным, но осуществляется на основе добровольного выбора детей  в соответствии с их интересами и склонностями.</w:t>
      </w:r>
    </w:p>
    <w:p w:rsidR="008A6CF5" w:rsidRDefault="00532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Алагирском районе действуют Муниципальное бюджетное учреждение дополнительного образования  «Центр детского творчества им. </w:t>
      </w:r>
      <w:proofErr w:type="spellStart"/>
      <w:r>
        <w:rPr>
          <w:sz w:val="26"/>
          <w:szCs w:val="26"/>
        </w:rPr>
        <w:t>К.Х.Пагиева</w:t>
      </w:r>
      <w:proofErr w:type="spellEnd"/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далее -МБУ ДО ЦДТ) и Муниципальное бюджетное учреждение дополнительного образования «Детско-юношеская спортивная школа»  ( далее -МБОУ ДО ДЮСШ), позволяющее в целом удовлетворять потребности детей, родителей, социума - многопрофильное учреждение с численностью  более 3040 обучающихся  системы образования.</w:t>
      </w:r>
    </w:p>
    <w:p w:rsidR="008A6CF5" w:rsidRDefault="00532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242428"/>
          <w:sz w:val="26"/>
          <w:szCs w:val="26"/>
        </w:rPr>
        <w:t xml:space="preserve">          Наиболее широкий выбор направленностей предлагают  ребенку многопрофильные учреждения дополнительного образования детей: </w:t>
      </w:r>
      <w:r>
        <w:rPr>
          <w:sz w:val="26"/>
          <w:szCs w:val="26"/>
        </w:rPr>
        <w:t>художественное, техническое творчество, туристско-краеведческая, социально-педагогическая деятельность, экологическое образование, физкультурно-спортивное. ДЮСШ работает по четырём направлениям: вольная борьба, волейбол, футбол, художественная гимнастика.</w:t>
      </w:r>
    </w:p>
    <w:p w:rsidR="008A6CF5" w:rsidRDefault="00532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ЦДТ в рамках </w:t>
      </w:r>
      <w:r>
        <w:rPr>
          <w:bCs/>
          <w:sz w:val="26"/>
          <w:szCs w:val="26"/>
        </w:rPr>
        <w:t xml:space="preserve">Национального проекта «Образование» получили оборудование по следующим направлениям: шахматы, робототехника, </w:t>
      </w:r>
      <w:proofErr w:type="spellStart"/>
      <w:r>
        <w:rPr>
          <w:bCs/>
          <w:sz w:val="26"/>
          <w:szCs w:val="26"/>
        </w:rPr>
        <w:t>лего</w:t>
      </w:r>
      <w:proofErr w:type="spellEnd"/>
      <w:r>
        <w:rPr>
          <w:bCs/>
          <w:sz w:val="26"/>
          <w:szCs w:val="26"/>
        </w:rPr>
        <w:t xml:space="preserve">-мастер, проектная деятельность, </w:t>
      </w:r>
      <w:proofErr w:type="spellStart"/>
      <w:r>
        <w:rPr>
          <w:bCs/>
          <w:sz w:val="26"/>
          <w:szCs w:val="26"/>
        </w:rPr>
        <w:t>мультимедия</w:t>
      </w:r>
      <w:proofErr w:type="spellEnd"/>
      <w:r>
        <w:rPr>
          <w:bCs/>
          <w:sz w:val="26"/>
          <w:szCs w:val="26"/>
        </w:rPr>
        <w:t>.</w:t>
      </w:r>
    </w:p>
    <w:p w:rsidR="008A6CF5" w:rsidRDefault="00532E75">
      <w:pPr>
        <w:jc w:val="both"/>
        <w:rPr>
          <w:color w:val="FF0000"/>
          <w:sz w:val="26"/>
        </w:rPr>
      </w:pPr>
      <w:r>
        <w:rPr>
          <w:sz w:val="26"/>
          <w:szCs w:val="26"/>
        </w:rPr>
        <w:t xml:space="preserve">          Педагогическую деятельность в  учреждении дополнительного образования осуществляют  педагоги дополнительного образования, методисты, педагоги-организаторы. Одним из показателей повышения педагогического мастерства является  участие педагогов в </w:t>
      </w:r>
      <w:r>
        <w:rPr>
          <w:sz w:val="26"/>
        </w:rPr>
        <w:t xml:space="preserve">  республиканском этапе Всероссийского конкурса педагогов дополнительного образования  «Сердце отдаю детям».</w:t>
      </w:r>
    </w:p>
    <w:p w:rsidR="008A6CF5" w:rsidRDefault="00532E75">
      <w:pPr>
        <w:ind w:firstLine="3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Организации дополнительного образования являются ресурсными центрами всех ключевых направлений социально-воспитательной работы  в социокультурном пространстве,  осуществляют методическое сопровождение, информационную поддержку образовательных организаций  района. </w:t>
      </w:r>
    </w:p>
    <w:p w:rsidR="008A6CF5" w:rsidRDefault="00532E75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В  системе дополнительного образования  сконцентрирована  работа по выявлению, поддержке и развитию одаренных детей в  творческой и социальной сферах деятельности.</w:t>
      </w:r>
    </w:p>
    <w:p w:rsidR="008A6CF5" w:rsidRDefault="00532E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Одним из факторов, определяющих инновационный опыт интеграции базового и дополнительного образования,  является то, что 100% общеобразовательных школ активно сотрудничают с МБУ ДО ЦДТ и МБУ ДО ДЮСШ </w:t>
      </w:r>
      <w:proofErr w:type="spellStart"/>
      <w:r>
        <w:rPr>
          <w:sz w:val="26"/>
          <w:szCs w:val="26"/>
        </w:rPr>
        <w:t>Алагирского</w:t>
      </w:r>
      <w:proofErr w:type="spellEnd"/>
      <w:r>
        <w:rPr>
          <w:sz w:val="26"/>
          <w:szCs w:val="26"/>
        </w:rPr>
        <w:t xml:space="preserve"> района по самым различным направлениям деятельности; целенаправленные формы сотрудничества создают условия для развития воспитательных функций общеобразовательных учреждений, усиления познавательной мотивации учащихся, реализации инновационных идей.</w:t>
      </w:r>
      <w:proofErr w:type="gramEnd"/>
    </w:p>
    <w:p w:rsidR="008A6CF5" w:rsidRDefault="008A6CF5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46131" w:rsidRDefault="00E46131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46131" w:rsidRDefault="00E46131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46131" w:rsidRDefault="00E46131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46131" w:rsidRDefault="00E46131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532E75" w:rsidRDefault="00532E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1A24" w:rsidRDefault="00532E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5F89">
        <w:rPr>
          <w:b/>
          <w:sz w:val="26"/>
          <w:szCs w:val="26"/>
        </w:rPr>
        <w:t xml:space="preserve"> </w:t>
      </w:r>
    </w:p>
    <w:p w:rsidR="008A6CF5" w:rsidRPr="00125F89" w:rsidRDefault="00532E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5F89">
        <w:rPr>
          <w:b/>
          <w:sz w:val="26"/>
          <w:szCs w:val="26"/>
          <w:lang w:val="en-US"/>
        </w:rPr>
        <w:t>III</w:t>
      </w:r>
      <w:r w:rsidRPr="00125F89">
        <w:rPr>
          <w:b/>
          <w:sz w:val="26"/>
          <w:szCs w:val="26"/>
        </w:rPr>
        <w:t>. Цели</w:t>
      </w:r>
      <w:proofErr w:type="gramStart"/>
      <w:r w:rsidRPr="00125F89">
        <w:rPr>
          <w:b/>
          <w:sz w:val="26"/>
          <w:szCs w:val="26"/>
        </w:rPr>
        <w:t>,  основные</w:t>
      </w:r>
      <w:proofErr w:type="gramEnd"/>
      <w:r w:rsidRPr="00125F89">
        <w:rPr>
          <w:b/>
          <w:sz w:val="26"/>
          <w:szCs w:val="26"/>
        </w:rPr>
        <w:t xml:space="preserve"> задачи, целевые индикаторы, этапы и сроки реализации, ресурсное обеспечение, ожидаемые результаты реализации подпрограммы №</w:t>
      </w:r>
      <w:r w:rsidR="00125F89">
        <w:rPr>
          <w:b/>
          <w:sz w:val="26"/>
          <w:szCs w:val="26"/>
        </w:rPr>
        <w:t>3</w:t>
      </w:r>
      <w:r w:rsidRPr="00125F89">
        <w:rPr>
          <w:b/>
          <w:sz w:val="26"/>
          <w:szCs w:val="26"/>
        </w:rPr>
        <w:t xml:space="preserve"> </w:t>
      </w:r>
    </w:p>
    <w:p w:rsidR="008A6CF5" w:rsidRPr="00125F89" w:rsidRDefault="008A6CF5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8A6CF5" w:rsidRDefault="008A6CF5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8A6CF5" w:rsidRPr="00125F89" w:rsidRDefault="00532E75" w:rsidP="00E4613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653"/>
        <w:jc w:val="center"/>
        <w:rPr>
          <w:rFonts w:ascii="Times New Roman" w:hAnsi="Times New Roman"/>
          <w:b/>
          <w:bCs/>
          <w:sz w:val="26"/>
          <w:szCs w:val="26"/>
        </w:rPr>
      </w:pPr>
      <w:r w:rsidRPr="00125F89">
        <w:rPr>
          <w:rFonts w:ascii="Times New Roman" w:hAnsi="Times New Roman"/>
          <w:b/>
          <w:bCs/>
          <w:sz w:val="26"/>
          <w:szCs w:val="26"/>
          <w:lang w:eastAsia="ru-RU"/>
        </w:rPr>
        <w:t>3.1</w:t>
      </w:r>
      <w:r w:rsidR="00F01A24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125F8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Pr="00125F89">
        <w:rPr>
          <w:rFonts w:ascii="Times New Roman" w:hAnsi="Times New Roman"/>
          <w:b/>
          <w:bCs/>
          <w:sz w:val="26"/>
          <w:szCs w:val="26"/>
        </w:rPr>
        <w:t xml:space="preserve">Цели и   основные задачи </w:t>
      </w:r>
      <w:r w:rsidRPr="00125F8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подпрограммы </w:t>
      </w:r>
      <w:r w:rsidRPr="00125F89">
        <w:rPr>
          <w:rFonts w:ascii="Times New Roman" w:hAnsi="Times New Roman"/>
          <w:b/>
          <w:bCs/>
          <w:sz w:val="26"/>
          <w:szCs w:val="26"/>
        </w:rPr>
        <w:t>№</w:t>
      </w:r>
      <w:r w:rsidR="00125F89">
        <w:rPr>
          <w:rFonts w:ascii="Times New Roman" w:hAnsi="Times New Roman"/>
          <w:b/>
          <w:bCs/>
          <w:sz w:val="26"/>
          <w:szCs w:val="26"/>
        </w:rPr>
        <w:t>3</w:t>
      </w:r>
    </w:p>
    <w:p w:rsidR="008A6CF5" w:rsidRDefault="00532E7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6CF5" w:rsidRDefault="00532E7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125F89">
        <w:rPr>
          <w:rFonts w:ascii="Times New Roman" w:hAnsi="Times New Roman"/>
          <w:bCs/>
          <w:sz w:val="24"/>
          <w:szCs w:val="24"/>
        </w:rPr>
        <w:t>№3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7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2D0D15">
        <w:rPr>
          <w:rFonts w:ascii="Times New Roman" w:hAnsi="Times New Roman"/>
          <w:bCs/>
          <w:sz w:val="24"/>
          <w:szCs w:val="24"/>
          <w:lang w:eastAsia="ru-RU"/>
        </w:rPr>
        <w:t>№3</w:t>
      </w: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532E75" w:rsidP="00E46131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3.2</w:t>
      </w:r>
      <w:r w:rsidR="00F01A24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Целевые показатели и индикаторы реализации</w:t>
      </w:r>
      <w:r w:rsid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25F89" w:rsidRPr="00E46131">
        <w:rPr>
          <w:rFonts w:ascii="Times New Roman" w:hAnsi="Times New Roman"/>
          <w:b/>
          <w:bCs/>
          <w:sz w:val="26"/>
          <w:szCs w:val="26"/>
          <w:lang w:eastAsia="ru-RU"/>
        </w:rPr>
        <w:t>№3</w:t>
      </w:r>
    </w:p>
    <w:p w:rsidR="00F01A24" w:rsidRPr="00E46131" w:rsidRDefault="00F01A24" w:rsidP="00E46131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6CF5" w:rsidRPr="00E46131" w:rsidRDefault="008A6CF5" w:rsidP="00E4613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459"/>
        <w:gridCol w:w="708"/>
        <w:gridCol w:w="1701"/>
        <w:gridCol w:w="1843"/>
        <w:gridCol w:w="1701"/>
      </w:tblGrid>
      <w:tr w:rsidR="00E46131" w:rsidTr="00016FB3">
        <w:tc>
          <w:tcPr>
            <w:tcW w:w="477" w:type="dxa"/>
            <w:vMerge w:val="restart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9" w:type="dxa"/>
            <w:vMerge w:val="restart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Ед.</w:t>
            </w:r>
          </w:p>
          <w:p w:rsidR="00E46131" w:rsidRDefault="00E46131" w:rsidP="00016FB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изм.</w:t>
            </w:r>
          </w:p>
        </w:tc>
        <w:tc>
          <w:tcPr>
            <w:tcW w:w="5245" w:type="dxa"/>
            <w:gridSpan w:val="3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Значение по годам:</w:t>
            </w:r>
          </w:p>
          <w:p w:rsidR="00F01A24" w:rsidRDefault="00F01A24" w:rsidP="00016FB3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131" w:rsidTr="00016FB3">
        <w:tc>
          <w:tcPr>
            <w:tcW w:w="477" w:type="dxa"/>
            <w:vMerge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245" w:type="dxa"/>
            <w:gridSpan w:val="3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реализации подпрограммы</w:t>
            </w:r>
          </w:p>
          <w:p w:rsidR="00F01A24" w:rsidRDefault="00F01A24" w:rsidP="00016FB3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131" w:rsidTr="00016FB3">
        <w:tc>
          <w:tcPr>
            <w:tcW w:w="477" w:type="dxa"/>
            <w:vMerge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2024 </w:t>
            </w:r>
          </w:p>
        </w:tc>
        <w:tc>
          <w:tcPr>
            <w:tcW w:w="1843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</w:tc>
        <w:tc>
          <w:tcPr>
            <w:tcW w:w="1701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F01A24" w:rsidRDefault="00F01A24" w:rsidP="00016FB3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131" w:rsidTr="00016FB3">
        <w:tc>
          <w:tcPr>
            <w:tcW w:w="477" w:type="dxa"/>
          </w:tcPr>
          <w:p w:rsidR="00E46131" w:rsidRDefault="00E46131" w:rsidP="00016F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E46131" w:rsidRDefault="00E46131" w:rsidP="00016FB3">
            <w:r>
              <w:t>Охват  детей  от 5 до 18 лет программами дополнительного образования в условиях общего и дополнительного образования</w:t>
            </w:r>
          </w:p>
          <w:p w:rsidR="00F01A24" w:rsidRDefault="00F01A24" w:rsidP="00016FB3"/>
        </w:tc>
        <w:tc>
          <w:tcPr>
            <w:tcW w:w="708" w:type="dxa"/>
            <w:vAlign w:val="center"/>
          </w:tcPr>
          <w:p w:rsidR="00E46131" w:rsidRDefault="00E46131" w:rsidP="00016FB3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E46131" w:rsidRDefault="00E46131" w:rsidP="00016FB3">
            <w:pPr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46131" w:rsidTr="00016FB3">
        <w:tc>
          <w:tcPr>
            <w:tcW w:w="477" w:type="dxa"/>
          </w:tcPr>
          <w:p w:rsidR="00E46131" w:rsidRDefault="00E46131" w:rsidP="00016F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E46131" w:rsidRDefault="00E46131" w:rsidP="00016FB3">
            <w:pPr>
              <w:ind w:left="-108" w:right="-14"/>
              <w:jc w:val="both"/>
              <w:rPr>
                <w:rFonts w:eastAsia="SimSun"/>
                <w:lang w:eastAsia="zh-CN"/>
              </w:rPr>
            </w:pPr>
            <w:r>
              <w:t xml:space="preserve">Количество проводимых мероприятий по  направлениям  детского творчества по </w:t>
            </w:r>
            <w:r>
              <w:rPr>
                <w:rFonts w:eastAsia="SimSun"/>
                <w:lang w:eastAsia="zh-CN"/>
              </w:rPr>
              <w:t xml:space="preserve">  презентации достижений обучающихся в сфере дополнительного образования.</w:t>
            </w:r>
          </w:p>
          <w:p w:rsidR="00F01A24" w:rsidRDefault="00F01A24" w:rsidP="00016FB3">
            <w:pPr>
              <w:ind w:left="-108" w:right="-14"/>
              <w:jc w:val="both"/>
            </w:pPr>
          </w:p>
        </w:tc>
        <w:tc>
          <w:tcPr>
            <w:tcW w:w="708" w:type="dxa"/>
            <w:vAlign w:val="center"/>
          </w:tcPr>
          <w:p w:rsidR="00E46131" w:rsidRDefault="00E46131" w:rsidP="00016FB3">
            <w:pPr>
              <w:ind w:left="-57" w:right="-57"/>
              <w:jc w:val="center"/>
            </w:pPr>
            <w:r>
              <w:t>ед.</w:t>
            </w:r>
          </w:p>
        </w:tc>
        <w:tc>
          <w:tcPr>
            <w:tcW w:w="1701" w:type="dxa"/>
            <w:vAlign w:val="center"/>
          </w:tcPr>
          <w:p w:rsidR="00E46131" w:rsidRDefault="00E46131" w:rsidP="00016FB3">
            <w:pPr>
              <w:jc w:val="center"/>
            </w:pPr>
            <w:r>
              <w:t>70</w:t>
            </w:r>
          </w:p>
        </w:tc>
        <w:tc>
          <w:tcPr>
            <w:tcW w:w="1843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E46131" w:rsidRDefault="00E46131" w:rsidP="00016FB3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8A6CF5" w:rsidRDefault="00532E7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F01A24" w:rsidRDefault="00F01A2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</w:p>
    <w:p w:rsidR="00F01A24" w:rsidRDefault="00F01A2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Pr="00E46131" w:rsidRDefault="00532E75" w:rsidP="00E4613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783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sz w:val="26"/>
          <w:szCs w:val="26"/>
          <w:lang w:eastAsia="ru-RU"/>
        </w:rPr>
        <w:t>3.3</w:t>
      </w:r>
      <w:r w:rsidR="00F01A24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Этапы и сроки реализации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</w:t>
      </w:r>
      <w:r w:rsidR="00125F89"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 </w:t>
      </w:r>
      <w:r w:rsidR="002D0D15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532E7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125F89">
        <w:rPr>
          <w:rFonts w:ascii="Times New Roman" w:hAnsi="Times New Roman"/>
          <w:bCs/>
          <w:sz w:val="24"/>
          <w:szCs w:val="24"/>
          <w:lang w:eastAsia="ru-RU"/>
        </w:rPr>
        <w:t xml:space="preserve"> № 3 </w:t>
      </w:r>
      <w:r>
        <w:rPr>
          <w:rFonts w:ascii="Times New Roman" w:hAnsi="Times New Roman"/>
          <w:bCs/>
          <w:sz w:val="24"/>
          <w:szCs w:val="24"/>
        </w:rPr>
        <w:t xml:space="preserve">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125F89">
        <w:rPr>
          <w:rFonts w:ascii="Times New Roman" w:hAnsi="Times New Roman"/>
          <w:bCs/>
          <w:sz w:val="24"/>
          <w:szCs w:val="24"/>
          <w:lang w:eastAsia="ru-RU"/>
        </w:rPr>
        <w:t>№3</w:t>
      </w: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01A24" w:rsidRDefault="00F01A2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A6CF5" w:rsidRPr="00E46131" w:rsidRDefault="00532E75" w:rsidP="00E4613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3.4</w:t>
      </w:r>
      <w:r w:rsidR="00F01A24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Ресурсное обеспечение подпрограммы </w:t>
      </w:r>
      <w:r w:rsidR="00125F89" w:rsidRPr="00E46131">
        <w:rPr>
          <w:rFonts w:ascii="Times New Roman" w:hAnsi="Times New Roman"/>
          <w:b/>
          <w:bCs/>
          <w:sz w:val="26"/>
          <w:szCs w:val="26"/>
        </w:rPr>
        <w:t xml:space="preserve"> №3</w:t>
      </w: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532E7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125F89">
        <w:rPr>
          <w:rFonts w:ascii="Times New Roman" w:hAnsi="Times New Roman"/>
          <w:bCs/>
          <w:sz w:val="24"/>
          <w:szCs w:val="24"/>
        </w:rPr>
        <w:t xml:space="preserve"> №3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="00125F89">
        <w:rPr>
          <w:rFonts w:ascii="Times New Roman" w:hAnsi="Times New Roman"/>
          <w:bCs/>
          <w:sz w:val="24"/>
          <w:szCs w:val="24"/>
        </w:rPr>
        <w:t>редставлен</w:t>
      </w:r>
      <w:r w:rsidR="00F01A24">
        <w:rPr>
          <w:rFonts w:ascii="Times New Roman" w:hAnsi="Times New Roman"/>
          <w:bCs/>
          <w:sz w:val="24"/>
          <w:szCs w:val="24"/>
        </w:rPr>
        <w:t>о</w:t>
      </w:r>
      <w:r w:rsidR="00125F89">
        <w:rPr>
          <w:rFonts w:ascii="Times New Roman" w:hAnsi="Times New Roman"/>
          <w:bCs/>
          <w:sz w:val="24"/>
          <w:szCs w:val="24"/>
        </w:rPr>
        <w:t xml:space="preserve"> в приложении №1 к  </w:t>
      </w:r>
      <w:r>
        <w:rPr>
          <w:rFonts w:ascii="Times New Roman" w:hAnsi="Times New Roman"/>
          <w:bCs/>
          <w:sz w:val="24"/>
          <w:szCs w:val="24"/>
        </w:rPr>
        <w:t xml:space="preserve">  муниципальной </w:t>
      </w:r>
      <w:r w:rsidR="00125F89">
        <w:rPr>
          <w:rFonts w:ascii="Times New Roman" w:hAnsi="Times New Roman"/>
          <w:bCs/>
          <w:sz w:val="24"/>
          <w:szCs w:val="24"/>
        </w:rPr>
        <w:t xml:space="preserve"> программе</w:t>
      </w:r>
    </w:p>
    <w:p w:rsidR="00F01A24" w:rsidRDefault="00F01A24" w:rsidP="00F01A2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01A24" w:rsidRDefault="00F01A2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Pr="00E46131" w:rsidRDefault="00532E75" w:rsidP="00E4613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3.5</w:t>
      </w:r>
      <w:r w:rsidRPr="00E461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01A24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Ожидаемые результаты реализации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="00125F89" w:rsidRPr="00E46131">
        <w:rPr>
          <w:rFonts w:ascii="Times New Roman" w:hAnsi="Times New Roman"/>
          <w:b/>
          <w:bCs/>
          <w:sz w:val="26"/>
          <w:szCs w:val="26"/>
          <w:lang w:eastAsia="ru-RU"/>
        </w:rPr>
        <w:t>№3</w:t>
      </w: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532E7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Ожидаемые результаты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E46131">
        <w:rPr>
          <w:rFonts w:ascii="Times New Roman" w:hAnsi="Times New Roman"/>
          <w:bCs/>
          <w:sz w:val="24"/>
          <w:szCs w:val="24"/>
        </w:rPr>
        <w:t xml:space="preserve">№ 3 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13 к  Паспорту  муниципальной программы  </w:t>
      </w:r>
    </w:p>
    <w:p w:rsidR="008A6CF5" w:rsidRDefault="008A6CF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532E75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01A24" w:rsidRDefault="00F01A24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</w:p>
    <w:p w:rsidR="008A6CF5" w:rsidRPr="00E46131" w:rsidRDefault="00532E75" w:rsidP="00474387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Pr="00474387">
        <w:rPr>
          <w:b/>
          <w:bCs/>
          <w:sz w:val="26"/>
          <w:szCs w:val="26"/>
        </w:rPr>
        <w:t xml:space="preserve">Механизм реализации  </w:t>
      </w:r>
      <w:r w:rsidRPr="00474387">
        <w:rPr>
          <w:b/>
          <w:bCs/>
        </w:rPr>
        <w:t xml:space="preserve">  подпрограммы </w:t>
      </w:r>
      <w:r w:rsidR="00E46131" w:rsidRPr="00474387">
        <w:rPr>
          <w:b/>
          <w:bCs/>
        </w:rPr>
        <w:t>№3</w:t>
      </w:r>
    </w:p>
    <w:p w:rsidR="008A6CF5" w:rsidRDefault="008A6CF5" w:rsidP="00532E75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8A6CF5" w:rsidRPr="00474387" w:rsidRDefault="00474387" w:rsidP="00474387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474387">
        <w:rPr>
          <w:bCs/>
          <w:sz w:val="26"/>
          <w:szCs w:val="26"/>
        </w:rPr>
        <w:t>Механ</w:t>
      </w:r>
      <w:bookmarkStart w:id="0" w:name="_GoBack"/>
      <w:bookmarkEnd w:id="0"/>
      <w:r w:rsidRPr="00474387">
        <w:rPr>
          <w:bCs/>
          <w:sz w:val="26"/>
          <w:szCs w:val="26"/>
        </w:rPr>
        <w:t xml:space="preserve">изм реализации  </w:t>
      </w:r>
      <w:r w:rsidRPr="00474387">
        <w:rPr>
          <w:bCs/>
        </w:rPr>
        <w:t xml:space="preserve">  подпрограммы №3 представлен в пункте </w:t>
      </w:r>
      <w:r w:rsidRPr="00474387">
        <w:rPr>
          <w:sz w:val="26"/>
          <w:szCs w:val="26"/>
        </w:rPr>
        <w:t xml:space="preserve"> </w:t>
      </w:r>
      <w:r w:rsidRPr="00474387">
        <w:rPr>
          <w:sz w:val="26"/>
          <w:szCs w:val="26"/>
          <w:lang w:val="en-US"/>
        </w:rPr>
        <w:t>IV</w:t>
      </w:r>
      <w:r w:rsidRPr="00474387">
        <w:rPr>
          <w:sz w:val="26"/>
          <w:szCs w:val="26"/>
        </w:rPr>
        <w:t xml:space="preserve"> муниципальной программы.</w:t>
      </w:r>
    </w:p>
    <w:p w:rsidR="008A6CF5" w:rsidRPr="00474387" w:rsidRDefault="008A6CF5" w:rsidP="00474387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A6CF5" w:rsidRDefault="008A6CF5">
      <w:pPr>
        <w:tabs>
          <w:tab w:val="left" w:pos="567"/>
        </w:tabs>
        <w:autoSpaceDE w:val="0"/>
        <w:autoSpaceDN w:val="0"/>
        <w:adjustRightInd w:val="0"/>
        <w:ind w:left="720"/>
        <w:contextualSpacing/>
        <w:jc w:val="both"/>
        <w:rPr>
          <w:b/>
          <w:sz w:val="26"/>
          <w:szCs w:val="26"/>
        </w:rPr>
      </w:pPr>
    </w:p>
    <w:p w:rsidR="008A6CF5" w:rsidRDefault="008A6CF5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</w:p>
    <w:p w:rsidR="008A6CF5" w:rsidRDefault="008A6CF5">
      <w:pPr>
        <w:tabs>
          <w:tab w:val="left" w:pos="993"/>
        </w:tabs>
        <w:jc w:val="both"/>
        <w:rPr>
          <w:sz w:val="26"/>
          <w:szCs w:val="26"/>
        </w:rPr>
      </w:pPr>
    </w:p>
    <w:p w:rsidR="008A6CF5" w:rsidRDefault="008A6CF5">
      <w:pPr>
        <w:tabs>
          <w:tab w:val="left" w:pos="284"/>
        </w:tabs>
        <w:autoSpaceDE w:val="0"/>
        <w:autoSpaceDN w:val="0"/>
        <w:adjustRightInd w:val="0"/>
        <w:ind w:left="1430"/>
        <w:contextualSpacing/>
        <w:jc w:val="center"/>
        <w:rPr>
          <w:b/>
          <w:sz w:val="26"/>
          <w:szCs w:val="26"/>
        </w:rPr>
      </w:pPr>
    </w:p>
    <w:p w:rsidR="008A6CF5" w:rsidRDefault="008A6CF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6CF5" w:rsidRDefault="008A6CF5">
      <w:pPr>
        <w:tabs>
          <w:tab w:val="left" w:pos="284"/>
        </w:tabs>
        <w:autoSpaceDE w:val="0"/>
        <w:autoSpaceDN w:val="0"/>
        <w:adjustRightInd w:val="0"/>
        <w:ind w:left="1430"/>
        <w:contextualSpacing/>
        <w:jc w:val="center"/>
        <w:rPr>
          <w:b/>
          <w:sz w:val="26"/>
          <w:szCs w:val="26"/>
        </w:rPr>
      </w:pPr>
    </w:p>
    <w:p w:rsidR="008A6CF5" w:rsidRDefault="008A6CF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6"/>
          <w:szCs w:val="26"/>
        </w:rPr>
        <w:sectPr w:rsidR="008A6CF5">
          <w:headerReference w:type="even" r:id="rId9"/>
          <w:headerReference w:type="first" r:id="rId10"/>
          <w:pgSz w:w="11906" w:h="16838"/>
          <w:pgMar w:top="426" w:right="850" w:bottom="426" w:left="1701" w:header="421" w:footer="708" w:gutter="0"/>
          <w:cols w:space="708"/>
          <w:docGrid w:linePitch="360"/>
        </w:sectPr>
      </w:pPr>
    </w:p>
    <w:p w:rsidR="008A6CF5" w:rsidRDefault="008A6CF5">
      <w:pPr>
        <w:rPr>
          <w:b/>
          <w:sz w:val="23"/>
          <w:szCs w:val="23"/>
        </w:rPr>
      </w:pPr>
    </w:p>
    <w:p w:rsidR="008A6CF5" w:rsidRDefault="008A6CF5">
      <w:pPr>
        <w:pStyle w:val="af3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A6CF5" w:rsidRDefault="008A6CF5">
      <w:pPr>
        <w:pStyle w:val="af3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A6CF5" w:rsidRDefault="008A6CF5">
      <w:pPr>
        <w:pStyle w:val="af3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A6CF5" w:rsidRPr="00850FA9" w:rsidRDefault="008A6CF5"/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</w:pPr>
    </w:p>
    <w:p w:rsidR="008A6CF5" w:rsidRDefault="008A6CF5">
      <w:pPr>
        <w:tabs>
          <w:tab w:val="left" w:pos="4036"/>
        </w:tabs>
        <w:rPr>
          <w:b/>
        </w:rPr>
        <w:sectPr w:rsidR="008A6C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680" w:right="567" w:bottom="1276" w:left="567" w:header="397" w:footer="397" w:gutter="0"/>
          <w:cols w:space="708"/>
          <w:docGrid w:linePitch="360"/>
        </w:sectPr>
      </w:pPr>
    </w:p>
    <w:p w:rsidR="008A6CF5" w:rsidRDefault="008A6CF5">
      <w:pPr>
        <w:autoSpaceDE w:val="0"/>
        <w:autoSpaceDN w:val="0"/>
        <w:adjustRightInd w:val="0"/>
        <w:jc w:val="right"/>
        <w:outlineLvl w:val="0"/>
      </w:pPr>
    </w:p>
    <w:sectPr w:rsidR="008A6CF5">
      <w:headerReference w:type="even" r:id="rId17"/>
      <w:headerReference w:type="default" r:id="rId18"/>
      <w:pgSz w:w="11906" w:h="16838"/>
      <w:pgMar w:top="142" w:right="851" w:bottom="709" w:left="1418" w:header="426" w:footer="709" w:gutter="0"/>
      <w:pgNumType w:start="3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4C" w:rsidRDefault="00532E75">
      <w:r>
        <w:separator/>
      </w:r>
    </w:p>
  </w:endnote>
  <w:endnote w:type="continuationSeparator" w:id="0">
    <w:p w:rsidR="0085054C" w:rsidRDefault="0053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f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f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f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4C" w:rsidRDefault="00532E75">
      <w:r>
        <w:separator/>
      </w:r>
    </w:p>
  </w:footnote>
  <w:footnote w:type="continuationSeparator" w:id="0">
    <w:p w:rsidR="0085054C" w:rsidRDefault="0053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532E75">
    <w:pPr>
      <w:pStyle w:val="ac"/>
      <w:jc w:val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>
      <w:rPr>
        <w:sz w:val="19"/>
        <w:szCs w:val="19"/>
      </w:rPr>
      <w:fldChar w:fldCharType="separate"/>
    </w:r>
    <w:r>
      <w:rPr>
        <w:sz w:val="19"/>
        <w:szCs w:val="19"/>
      </w:rPr>
      <w:t>16</w:t>
    </w:r>
    <w:r>
      <w:rPr>
        <w:sz w:val="19"/>
        <w:szCs w:val="19"/>
      </w:rPr>
      <w:fldChar w:fldCharType="end"/>
    </w:r>
  </w:p>
  <w:p w:rsidR="008A6CF5" w:rsidRDefault="008A6CF5">
    <w:pPr>
      <w:pStyle w:val="ac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c"/>
      <w:jc w:val="center"/>
      <w:rPr>
        <w:sz w:val="19"/>
        <w:szCs w:val="19"/>
      </w:rPr>
    </w:pPr>
  </w:p>
  <w:p w:rsidR="008A6CF5" w:rsidRDefault="008A6CF5">
    <w:pPr>
      <w:pStyle w:val="ac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532E75">
    <w:pPr>
      <w:pStyle w:val="ac"/>
      <w:jc w:val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>
      <w:rPr>
        <w:sz w:val="19"/>
        <w:szCs w:val="19"/>
      </w:rPr>
      <w:fldChar w:fldCharType="separate"/>
    </w:r>
    <w:r>
      <w:rPr>
        <w:sz w:val="19"/>
        <w:szCs w:val="19"/>
      </w:rPr>
      <w:t>16</w:t>
    </w:r>
    <w:r>
      <w:rPr>
        <w:sz w:val="19"/>
        <w:szCs w:val="19"/>
      </w:rPr>
      <w:fldChar w:fldCharType="end"/>
    </w:r>
  </w:p>
  <w:p w:rsidR="008A6CF5" w:rsidRDefault="008A6CF5">
    <w:pPr>
      <w:pStyle w:val="ac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c"/>
      <w:rPr>
        <w:sz w:val="19"/>
        <w:szCs w:val="19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c"/>
      <w:jc w:val="center"/>
      <w:rPr>
        <w:sz w:val="19"/>
        <w:szCs w:val="19"/>
      </w:rPr>
    </w:pPr>
  </w:p>
  <w:p w:rsidR="008A6CF5" w:rsidRDefault="008A6CF5">
    <w:pPr>
      <w:pStyle w:val="ac"/>
      <w:rPr>
        <w:sz w:val="19"/>
        <w:szCs w:val="19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532E75">
    <w:pPr>
      <w:pStyle w:val="ac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8A6CF5" w:rsidRDefault="008A6CF5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5" w:rsidRDefault="008A6CF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1F2"/>
    <w:multiLevelType w:val="multilevel"/>
    <w:tmpl w:val="146521F2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abstractNum w:abstractNumId="2">
    <w:nsid w:val="6C7A5EEE"/>
    <w:multiLevelType w:val="multilevel"/>
    <w:tmpl w:val="6C7A5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65"/>
    <w:rsid w:val="00014FC9"/>
    <w:rsid w:val="00041AB9"/>
    <w:rsid w:val="00061CCD"/>
    <w:rsid w:val="00063485"/>
    <w:rsid w:val="00072C64"/>
    <w:rsid w:val="000771A0"/>
    <w:rsid w:val="0009303F"/>
    <w:rsid w:val="000A3463"/>
    <w:rsid w:val="000D2820"/>
    <w:rsid w:val="000E063F"/>
    <w:rsid w:val="000F7501"/>
    <w:rsid w:val="00107365"/>
    <w:rsid w:val="00125F89"/>
    <w:rsid w:val="0015586E"/>
    <w:rsid w:val="0018654C"/>
    <w:rsid w:val="00195867"/>
    <w:rsid w:val="00195F95"/>
    <w:rsid w:val="001F4768"/>
    <w:rsid w:val="002639B3"/>
    <w:rsid w:val="00271413"/>
    <w:rsid w:val="00272C02"/>
    <w:rsid w:val="00285194"/>
    <w:rsid w:val="00291830"/>
    <w:rsid w:val="00292DBC"/>
    <w:rsid w:val="0029466F"/>
    <w:rsid w:val="002C1E37"/>
    <w:rsid w:val="002D0D15"/>
    <w:rsid w:val="002D43A6"/>
    <w:rsid w:val="002E4EED"/>
    <w:rsid w:val="002F4191"/>
    <w:rsid w:val="002F669E"/>
    <w:rsid w:val="00304B27"/>
    <w:rsid w:val="00345AA4"/>
    <w:rsid w:val="00355209"/>
    <w:rsid w:val="00393A15"/>
    <w:rsid w:val="00397DF1"/>
    <w:rsid w:val="003B4BA2"/>
    <w:rsid w:val="003C63F6"/>
    <w:rsid w:val="003D0237"/>
    <w:rsid w:val="003E1643"/>
    <w:rsid w:val="003F65D4"/>
    <w:rsid w:val="00474387"/>
    <w:rsid w:val="00482207"/>
    <w:rsid w:val="00495081"/>
    <w:rsid w:val="0049515E"/>
    <w:rsid w:val="004B7422"/>
    <w:rsid w:val="004E1D9A"/>
    <w:rsid w:val="004F3E7F"/>
    <w:rsid w:val="00532E75"/>
    <w:rsid w:val="00651C6D"/>
    <w:rsid w:val="00653F79"/>
    <w:rsid w:val="00675B5E"/>
    <w:rsid w:val="006A45DB"/>
    <w:rsid w:val="006B73F5"/>
    <w:rsid w:val="006C2F4E"/>
    <w:rsid w:val="006E0A24"/>
    <w:rsid w:val="006E233B"/>
    <w:rsid w:val="00705963"/>
    <w:rsid w:val="00745F6A"/>
    <w:rsid w:val="0075587F"/>
    <w:rsid w:val="00774EE6"/>
    <w:rsid w:val="007B5233"/>
    <w:rsid w:val="007C04EA"/>
    <w:rsid w:val="008119D1"/>
    <w:rsid w:val="008277FA"/>
    <w:rsid w:val="0085054C"/>
    <w:rsid w:val="00850FA9"/>
    <w:rsid w:val="00855072"/>
    <w:rsid w:val="0087454E"/>
    <w:rsid w:val="00876B06"/>
    <w:rsid w:val="00886A4C"/>
    <w:rsid w:val="008A6CF5"/>
    <w:rsid w:val="008B45DE"/>
    <w:rsid w:val="008B695D"/>
    <w:rsid w:val="008C00CB"/>
    <w:rsid w:val="008D0C65"/>
    <w:rsid w:val="008D261B"/>
    <w:rsid w:val="00907360"/>
    <w:rsid w:val="00922A5D"/>
    <w:rsid w:val="00943CCD"/>
    <w:rsid w:val="00986F07"/>
    <w:rsid w:val="00987C98"/>
    <w:rsid w:val="009A7980"/>
    <w:rsid w:val="00A0307E"/>
    <w:rsid w:val="00A21265"/>
    <w:rsid w:val="00A77F8C"/>
    <w:rsid w:val="00A94D10"/>
    <w:rsid w:val="00AC76D9"/>
    <w:rsid w:val="00AE1635"/>
    <w:rsid w:val="00AE4AEF"/>
    <w:rsid w:val="00B17B68"/>
    <w:rsid w:val="00B31B16"/>
    <w:rsid w:val="00B62FED"/>
    <w:rsid w:val="00B6683C"/>
    <w:rsid w:val="00B97EC4"/>
    <w:rsid w:val="00BD1D6A"/>
    <w:rsid w:val="00BD3278"/>
    <w:rsid w:val="00BD5036"/>
    <w:rsid w:val="00BE7E4B"/>
    <w:rsid w:val="00C31817"/>
    <w:rsid w:val="00C3286C"/>
    <w:rsid w:val="00C524C0"/>
    <w:rsid w:val="00C66C75"/>
    <w:rsid w:val="00CA7BC7"/>
    <w:rsid w:val="00CC399E"/>
    <w:rsid w:val="00D105A1"/>
    <w:rsid w:val="00D14540"/>
    <w:rsid w:val="00D67F22"/>
    <w:rsid w:val="00D80D45"/>
    <w:rsid w:val="00D92212"/>
    <w:rsid w:val="00DB4D5F"/>
    <w:rsid w:val="00DF1415"/>
    <w:rsid w:val="00E46131"/>
    <w:rsid w:val="00E839BA"/>
    <w:rsid w:val="00EB0EA0"/>
    <w:rsid w:val="00EB5BB3"/>
    <w:rsid w:val="00F01A24"/>
    <w:rsid w:val="00F659DB"/>
    <w:rsid w:val="00F84FF4"/>
    <w:rsid w:val="00FA38F3"/>
    <w:rsid w:val="00FA4346"/>
    <w:rsid w:val="00FB3CE1"/>
    <w:rsid w:val="0BA15389"/>
    <w:rsid w:val="0E3904A4"/>
    <w:rsid w:val="1CC63804"/>
    <w:rsid w:val="1DF136E2"/>
    <w:rsid w:val="209A1514"/>
    <w:rsid w:val="31D252B9"/>
    <w:rsid w:val="3F7D26BA"/>
    <w:rsid w:val="51E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nhideWhenUsed="0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rPr>
      <w:sz w:val="28"/>
      <w:szCs w:val="20"/>
    </w:rPr>
  </w:style>
  <w:style w:type="paragraph" w:styleId="af0">
    <w:name w:val="footer"/>
    <w:basedOn w:val="a"/>
    <w:link w:val="af1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rPr>
      <w:sz w:val="26"/>
      <w:szCs w:val="26"/>
      <w:lang w:bidi="ar-SA"/>
    </w:rPr>
  </w:style>
  <w:style w:type="character" w:customStyle="1" w:styleId="12">
    <w:name w:val="Основной текст + 12"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rPr>
      <w:sz w:val="28"/>
      <w:szCs w:val="28"/>
      <w:lang w:bidi="ar-SA"/>
    </w:rPr>
  </w:style>
  <w:style w:type="character" w:customStyle="1" w:styleId="14pt1">
    <w:name w:val="Основной текст + 14 pt1"/>
    <w:rPr>
      <w:i/>
      <w:iCs/>
      <w:sz w:val="28"/>
      <w:szCs w:val="28"/>
      <w:lang w:bidi="ar-SA"/>
    </w:rPr>
  </w:style>
  <w:style w:type="character" w:customStyle="1" w:styleId="FontStyle83">
    <w:name w:val="Font Style83"/>
    <w:rPr>
      <w:rFonts w:ascii="Times New Roman" w:hAnsi="Times New Roman" w:cs="Times New Roman"/>
      <w:sz w:val="26"/>
      <w:szCs w:val="26"/>
    </w:rPr>
  </w:style>
  <w:style w:type="paragraph" w:customStyle="1" w:styleId="af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2DBD-5F8E-472E-9552-C5BA054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85</cp:revision>
  <cp:lastPrinted>2023-11-17T09:01:00Z</cp:lastPrinted>
  <dcterms:created xsi:type="dcterms:W3CDTF">2020-10-20T08:10:00Z</dcterms:created>
  <dcterms:modified xsi:type="dcterms:W3CDTF">2023-11-17T09:01:00Z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227F46AA6D434B3E8AC18C7B06A5E7F9_12</vt:lpwstr>
  </property>
</Properties>
</file>