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D" w:rsidRDefault="000A4D8F">
      <w:pPr>
        <w:autoSpaceDE w:val="0"/>
        <w:autoSpaceDN w:val="0"/>
        <w:adjustRightInd w:val="0"/>
        <w:jc w:val="right"/>
      </w:pPr>
      <w:r>
        <w:rPr>
          <w:b/>
          <w:sz w:val="31"/>
          <w:szCs w:val="31"/>
        </w:rPr>
        <w:t xml:space="preserve">                                                                         </w:t>
      </w:r>
      <w:r>
        <w:t>Приложение № 2</w:t>
      </w:r>
    </w:p>
    <w:p w:rsidR="00A113FD" w:rsidRDefault="000A4D8F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A113FD" w:rsidRDefault="000A4D8F">
      <w:pPr>
        <w:autoSpaceDE w:val="0"/>
        <w:autoSpaceDN w:val="0"/>
        <w:adjustRightInd w:val="0"/>
        <w:jc w:val="right"/>
      </w:pPr>
      <w:r>
        <w:t xml:space="preserve"> </w:t>
      </w:r>
    </w:p>
    <w:p w:rsidR="00A113FD" w:rsidRDefault="00A113F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113FD" w:rsidRDefault="000A4D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Подпрограмма№2  </w:t>
      </w:r>
      <w:r>
        <w:rPr>
          <w:b/>
          <w:bCs/>
        </w:rPr>
        <w:t xml:space="preserve">«Развитие начального, основного, среднего  общего образования в Алагирском муниципальном районе </w:t>
      </w:r>
      <w:r>
        <w:rPr>
          <w:b/>
          <w:bCs/>
          <w:sz w:val="26"/>
          <w:szCs w:val="26"/>
        </w:rPr>
        <w:t>на 2024-2026 годы»</w:t>
      </w:r>
    </w:p>
    <w:p w:rsidR="00A113FD" w:rsidRDefault="000A4D8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 далее - подпрограмма №2)</w:t>
      </w:r>
    </w:p>
    <w:p w:rsidR="00A113FD" w:rsidRDefault="00A11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113FD" w:rsidRDefault="000A4D8F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Cs/>
          <w:sz w:val="26"/>
          <w:szCs w:val="26"/>
        </w:rPr>
        <w:t>Паспорт подпрограммы  №2</w:t>
      </w:r>
    </w:p>
    <w:p w:rsidR="00A113FD" w:rsidRDefault="00A113FD">
      <w:pPr>
        <w:jc w:val="center"/>
        <w:rPr>
          <w:b/>
        </w:rPr>
      </w:pPr>
    </w:p>
    <w:p w:rsidR="00A113FD" w:rsidRDefault="00A113FD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6628"/>
      </w:tblGrid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t>1.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Наименование подпрограммы №2</w:t>
            </w:r>
          </w:p>
        </w:tc>
        <w:tc>
          <w:tcPr>
            <w:tcW w:w="6628" w:type="dxa"/>
          </w:tcPr>
          <w:p w:rsidR="00A113FD" w:rsidRDefault="000A4D8F">
            <w:r>
              <w:t xml:space="preserve">«Развитие начального, основного, среднего  общего образования в Алагирском муниципальном районе </w:t>
            </w:r>
            <w:r>
              <w:rPr>
                <w:sz w:val="26"/>
                <w:szCs w:val="26"/>
              </w:rPr>
              <w:t xml:space="preserve">на 2024-2026 годы» </w:t>
            </w:r>
            <w:r>
              <w:t>»</w:t>
            </w:r>
          </w:p>
        </w:tc>
      </w:tr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t>2.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Основание для разработки подпрограммы №2</w:t>
            </w:r>
          </w:p>
        </w:tc>
        <w:tc>
          <w:tcPr>
            <w:tcW w:w="6628" w:type="dxa"/>
          </w:tcPr>
          <w:p w:rsidR="00A113FD" w:rsidRDefault="000A4D8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</w:t>
            </w:r>
            <w:r>
              <w:rPr>
                <w:bCs/>
              </w:rPr>
              <w:t xml:space="preserve"> </w:t>
            </w:r>
            <w:proofErr w:type="gramEnd"/>
          </w:p>
          <w:p w:rsidR="00A113FD" w:rsidRDefault="00A113FD">
            <w:pPr>
              <w:jc w:val="both"/>
            </w:pPr>
          </w:p>
        </w:tc>
      </w:tr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t>3.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Разработчик  подпрограммы №2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sz w:val="26"/>
                <w:szCs w:val="26"/>
              </w:rPr>
            </w:pPr>
            <w:r>
              <w:t xml:space="preserve">Управление    образования  администрации 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</w:tc>
      </w:tr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t>4.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Ответственный исполнитель    подпрограммы №2</w:t>
            </w:r>
          </w:p>
        </w:tc>
        <w:tc>
          <w:tcPr>
            <w:tcW w:w="6628" w:type="dxa"/>
          </w:tcPr>
          <w:p w:rsidR="00A113FD" w:rsidRDefault="000A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образования  администрации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района; </w:t>
            </w:r>
          </w:p>
          <w:p w:rsidR="00A113FD" w:rsidRDefault="00A113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t>5.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Соисполнители   подпрограммы №2</w:t>
            </w:r>
          </w:p>
        </w:tc>
        <w:tc>
          <w:tcPr>
            <w:tcW w:w="6628" w:type="dxa"/>
          </w:tcPr>
          <w:p w:rsidR="00A113FD" w:rsidRDefault="000A4D8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 организации</w:t>
            </w:r>
          </w:p>
          <w:p w:rsidR="00A113FD" w:rsidRDefault="000A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t>6.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Участники подпрограммы №2</w:t>
            </w:r>
          </w:p>
        </w:tc>
        <w:tc>
          <w:tcPr>
            <w:tcW w:w="6628" w:type="dxa"/>
          </w:tcPr>
          <w:p w:rsidR="00A113FD" w:rsidRDefault="000A4D8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 организации</w:t>
            </w:r>
          </w:p>
          <w:p w:rsidR="00A113FD" w:rsidRDefault="000A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A113FD">
        <w:trPr>
          <w:trHeight w:val="4150"/>
        </w:trPr>
        <w:tc>
          <w:tcPr>
            <w:tcW w:w="568" w:type="dxa"/>
          </w:tcPr>
          <w:p w:rsidR="00A113FD" w:rsidRDefault="000A4D8F">
            <w:pPr>
              <w:jc w:val="both"/>
            </w:pPr>
            <w:r>
              <w:t>7.</w:t>
            </w:r>
          </w:p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Цели и основные задачи подпрограммы №2</w:t>
            </w:r>
          </w:p>
          <w:p w:rsidR="00A113FD" w:rsidRDefault="00A113FD">
            <w:pPr>
              <w:jc w:val="both"/>
            </w:pPr>
          </w:p>
        </w:tc>
        <w:tc>
          <w:tcPr>
            <w:tcW w:w="6628" w:type="dxa"/>
          </w:tcPr>
          <w:p w:rsidR="00A113FD" w:rsidRDefault="007D3D54">
            <w:pPr>
              <w:jc w:val="both"/>
            </w:pPr>
            <w:r>
              <w:t xml:space="preserve">- </w:t>
            </w:r>
            <w:r w:rsidR="000A4D8F">
              <w:t>создание условий для обеспечения прав детей на общедоступное качественное общее образование</w:t>
            </w:r>
          </w:p>
          <w:p w:rsidR="00A113FD" w:rsidRDefault="000A4D8F">
            <w:pPr>
              <w:jc w:val="both"/>
            </w:pPr>
            <w:r>
              <w:t xml:space="preserve">       - развитие сети и инфраструктуры учреждений образования для обеспечения доступности образовательных услуги качественных условий обучения;</w:t>
            </w:r>
          </w:p>
          <w:p w:rsidR="00A113FD" w:rsidRDefault="000A4D8F">
            <w:pPr>
              <w:jc w:val="both"/>
            </w:pPr>
            <w:r>
              <w:t xml:space="preserve">       - укрепление материально-технической базы образовательных учреждений;</w:t>
            </w:r>
          </w:p>
          <w:p w:rsidR="00A113FD" w:rsidRDefault="000A4D8F">
            <w:pPr>
              <w:jc w:val="both"/>
            </w:pPr>
            <w:r>
              <w:t xml:space="preserve">       - выявление  и поддержка одаренных детей;</w:t>
            </w:r>
          </w:p>
          <w:p w:rsidR="00A113FD" w:rsidRDefault="000A4D8F">
            <w:pPr>
              <w:jc w:val="both"/>
            </w:pPr>
            <w:r>
              <w:t xml:space="preserve">       - модернизация содержания образования и образовательной среды в соответствии с </w:t>
            </w:r>
            <w:proofErr w:type="gramStart"/>
            <w:r>
              <w:t>обновленными</w:t>
            </w:r>
            <w:proofErr w:type="gramEnd"/>
            <w:r>
              <w:t xml:space="preserve"> ФГОС»;</w:t>
            </w:r>
          </w:p>
          <w:p w:rsidR="00A113FD" w:rsidRDefault="000A4D8F">
            <w:pPr>
              <w:jc w:val="both"/>
            </w:pPr>
            <w:r>
              <w:t xml:space="preserve">       - совершенствование кадрового потенциала;</w:t>
            </w:r>
          </w:p>
          <w:p w:rsidR="00A113FD" w:rsidRDefault="000A4D8F">
            <w:pPr>
              <w:jc w:val="both"/>
            </w:pPr>
            <w:r>
              <w:t xml:space="preserve">       - развитие государственно – общественного управления образованием, информационной прозрачности системы образования района</w:t>
            </w:r>
          </w:p>
        </w:tc>
      </w:tr>
      <w:tr w:rsidR="00A113FD">
        <w:trPr>
          <w:trHeight w:val="276"/>
        </w:trPr>
        <w:tc>
          <w:tcPr>
            <w:tcW w:w="568" w:type="dxa"/>
          </w:tcPr>
          <w:p w:rsidR="00A113FD" w:rsidRDefault="000A4D8F">
            <w:pPr>
              <w:jc w:val="both"/>
            </w:pPr>
            <w:r>
              <w:t>8.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Целевые индикаторы и показатели подпрограммы №2</w:t>
            </w:r>
          </w:p>
        </w:tc>
        <w:tc>
          <w:tcPr>
            <w:tcW w:w="6628" w:type="dxa"/>
          </w:tcPr>
          <w:p w:rsidR="00A113FD" w:rsidRDefault="00354E57">
            <w:pPr>
              <w:jc w:val="both"/>
            </w:pPr>
            <w:r>
              <w:t xml:space="preserve">      </w:t>
            </w:r>
            <w:r w:rsidR="000A4D8F">
              <w:t xml:space="preserve">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 которых согласились на обучение таких детей с использованием дистанционных образовательных технологий;</w:t>
            </w:r>
          </w:p>
          <w:p w:rsidR="00A113FD" w:rsidRDefault="000A4D8F">
            <w:pPr>
              <w:jc w:val="both"/>
            </w:pPr>
            <w:r>
              <w:t xml:space="preserve">       - доля школьников, обучающихся по </w:t>
            </w:r>
            <w:proofErr w:type="gramStart"/>
            <w:r>
              <w:t>обновленным</w:t>
            </w:r>
            <w:proofErr w:type="gramEnd"/>
            <w:r>
              <w:t xml:space="preserve"> ФГОС, в общей численности школьников;</w:t>
            </w:r>
          </w:p>
          <w:p w:rsidR="00A113FD" w:rsidRDefault="000A4D8F">
            <w:pPr>
              <w:jc w:val="both"/>
            </w:pPr>
            <w:r>
              <w:t xml:space="preserve">      - удельный вес образовательных учреждений, обеспечивающих предоставление нормативно -  закрепленного перечня сведений о своей деятельности на официальных сайтах;</w:t>
            </w:r>
          </w:p>
          <w:p w:rsidR="00A113FD" w:rsidRDefault="000A4D8F">
            <w:pPr>
              <w:jc w:val="both"/>
            </w:pPr>
            <w:r>
              <w:lastRenderedPageBreak/>
              <w:t xml:space="preserve">      - рост доли детей, охваченных мероприятиями регионального, всероссийского уровней, в общей численности детей в возрасте от 7 до 15 лет </w:t>
            </w:r>
          </w:p>
          <w:p w:rsidR="00A113FD" w:rsidRDefault="00A113FD">
            <w:pPr>
              <w:jc w:val="both"/>
            </w:pPr>
          </w:p>
        </w:tc>
      </w:tr>
      <w:tr w:rsidR="00A113FD">
        <w:tc>
          <w:tcPr>
            <w:tcW w:w="568" w:type="dxa"/>
          </w:tcPr>
          <w:p w:rsidR="00A113FD" w:rsidRDefault="000A4D8F">
            <w:pPr>
              <w:jc w:val="both"/>
            </w:pPr>
            <w:r>
              <w:lastRenderedPageBreak/>
              <w:t>9.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Этапы и сроки реализации  подпрограммы №2</w:t>
            </w:r>
          </w:p>
          <w:p w:rsidR="00A113FD" w:rsidRDefault="00A113FD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</w:pPr>
            <w:r>
              <w:t xml:space="preserve"> Подпрограмма №2 реализуется в один этап. </w:t>
            </w:r>
          </w:p>
          <w:p w:rsidR="00A113FD" w:rsidRDefault="000A4D8F">
            <w:pPr>
              <w:jc w:val="both"/>
            </w:pPr>
            <w:r>
              <w:t>Срок реализации  подпрограммы №2: 2024 – 2026 годы</w:t>
            </w:r>
          </w:p>
          <w:p w:rsidR="00A113FD" w:rsidRDefault="00A113FD">
            <w:pPr>
              <w:jc w:val="both"/>
            </w:pPr>
          </w:p>
        </w:tc>
      </w:tr>
      <w:tr w:rsidR="00A113FD">
        <w:trPr>
          <w:trHeight w:val="780"/>
        </w:trPr>
        <w:tc>
          <w:tcPr>
            <w:tcW w:w="568" w:type="dxa"/>
            <w:vMerge w:val="restart"/>
          </w:tcPr>
          <w:p w:rsidR="00A113FD" w:rsidRDefault="000A4D8F">
            <w:pPr>
              <w:jc w:val="both"/>
            </w:pPr>
            <w:r>
              <w:t>10.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№2 (тысяч руб.) </w:t>
            </w:r>
            <w:r>
              <w:rPr>
                <w:b/>
              </w:rPr>
              <w:t>на 2024 год</w:t>
            </w:r>
          </w:p>
          <w:p w:rsidR="00A113FD" w:rsidRDefault="000A4D8F">
            <w:pPr>
              <w:jc w:val="both"/>
            </w:pPr>
            <w:r>
              <w:t>в том числе: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</w:pPr>
            <w:r>
              <w:rPr>
                <w:lang w:eastAsia="en-US"/>
              </w:rPr>
              <w:t xml:space="preserve">Всего -  368553,4 тыс. руб., </w:t>
            </w:r>
          </w:p>
        </w:tc>
      </w:tr>
      <w:tr w:rsidR="00A113FD">
        <w:trPr>
          <w:trHeight w:val="780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федерального бюджета (тыс. руб.)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17030,2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80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229844,2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80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121679,0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80"/>
        </w:trPr>
        <w:tc>
          <w:tcPr>
            <w:tcW w:w="568" w:type="dxa"/>
            <w:vMerge w:val="restart"/>
          </w:tcPr>
          <w:p w:rsidR="00A113FD" w:rsidRDefault="000A4D8F">
            <w:pPr>
              <w:jc w:val="both"/>
            </w:pPr>
            <w:r>
              <w:t>11.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№2 (тысяч руб.) </w:t>
            </w:r>
            <w:r>
              <w:rPr>
                <w:b/>
              </w:rPr>
              <w:t>на 2025 год</w:t>
            </w:r>
          </w:p>
          <w:p w:rsidR="00A113FD" w:rsidRDefault="000A4D8F">
            <w:pPr>
              <w:jc w:val="both"/>
            </w:pPr>
            <w:r>
              <w:t>в том числе:</w:t>
            </w:r>
          </w:p>
          <w:p w:rsidR="00DB2E97" w:rsidRDefault="00DB2E97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-  368709,6 тыс. руб., </w:t>
            </w:r>
          </w:p>
        </w:tc>
      </w:tr>
      <w:tr w:rsidR="00A113FD">
        <w:trPr>
          <w:trHeight w:val="780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федерального бюджета (тыс. руб.)</w:t>
            </w:r>
          </w:p>
          <w:p w:rsidR="00DB2E97" w:rsidRDefault="00DB2E97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17186,4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80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республиканского бюджета (тыс. руб.)</w:t>
            </w:r>
          </w:p>
          <w:p w:rsidR="00DB2E97" w:rsidRDefault="00DB2E97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229844,2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531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местного бюджета (тыс. руб.)</w:t>
            </w:r>
          </w:p>
          <w:p w:rsidR="00DB2E97" w:rsidRDefault="00DB2E97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121679,0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80"/>
        </w:trPr>
        <w:tc>
          <w:tcPr>
            <w:tcW w:w="568" w:type="dxa"/>
            <w:vMerge w:val="restart"/>
          </w:tcPr>
          <w:p w:rsidR="00A113FD" w:rsidRDefault="000A4D8F">
            <w:pPr>
              <w:jc w:val="both"/>
            </w:pPr>
            <w:r>
              <w:t>12.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№2 (тысяч руб.) </w:t>
            </w:r>
            <w:r>
              <w:rPr>
                <w:b/>
              </w:rPr>
              <w:t>на 2026 год</w:t>
            </w:r>
          </w:p>
          <w:p w:rsidR="00A113FD" w:rsidRDefault="000A4D8F">
            <w:pPr>
              <w:jc w:val="both"/>
            </w:pPr>
            <w:r>
              <w:t>в том числе:</w:t>
            </w:r>
          </w:p>
          <w:p w:rsidR="00DB2E97" w:rsidRDefault="00DB2E97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-  368709,6 тыс. руб., </w:t>
            </w:r>
          </w:p>
        </w:tc>
      </w:tr>
      <w:tr w:rsidR="00A113FD">
        <w:trPr>
          <w:trHeight w:val="780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федерального бюджета (тыс. руб.)</w:t>
            </w:r>
          </w:p>
          <w:p w:rsidR="00DB2E97" w:rsidRDefault="00DB2E97">
            <w:pPr>
              <w:jc w:val="both"/>
            </w:pP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17186,4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906"/>
        </w:trPr>
        <w:tc>
          <w:tcPr>
            <w:tcW w:w="568" w:type="dxa"/>
            <w:vMerge w:val="restart"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229844,2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07"/>
        </w:trPr>
        <w:tc>
          <w:tcPr>
            <w:tcW w:w="568" w:type="dxa"/>
            <w:vMerge/>
          </w:tcPr>
          <w:p w:rsidR="00A113FD" w:rsidRDefault="00A113FD">
            <w:pPr>
              <w:jc w:val="both"/>
            </w:pP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6628" w:type="dxa"/>
          </w:tcPr>
          <w:p w:rsidR="00A113FD" w:rsidRDefault="000A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121679,0 тыс. руб.</w:t>
            </w:r>
          </w:p>
          <w:p w:rsidR="00A113FD" w:rsidRDefault="00A113FD">
            <w:pPr>
              <w:jc w:val="both"/>
              <w:rPr>
                <w:lang w:eastAsia="en-US"/>
              </w:rPr>
            </w:pPr>
          </w:p>
        </w:tc>
      </w:tr>
      <w:tr w:rsidR="00A113FD">
        <w:trPr>
          <w:trHeight w:val="707"/>
        </w:trPr>
        <w:tc>
          <w:tcPr>
            <w:tcW w:w="568" w:type="dxa"/>
          </w:tcPr>
          <w:p w:rsidR="00A113FD" w:rsidRDefault="000A4D8F">
            <w:pPr>
              <w:jc w:val="both"/>
            </w:pPr>
            <w:r>
              <w:t>13.</w:t>
            </w:r>
          </w:p>
        </w:tc>
        <w:tc>
          <w:tcPr>
            <w:tcW w:w="2409" w:type="dxa"/>
          </w:tcPr>
          <w:p w:rsidR="00A113FD" w:rsidRDefault="000A4D8F">
            <w:pPr>
              <w:jc w:val="both"/>
            </w:pPr>
            <w:r>
              <w:t>Ожидаемые результаты реализации   подпрограммы №2</w:t>
            </w:r>
          </w:p>
          <w:p w:rsidR="00A113FD" w:rsidRDefault="00A113FD"/>
          <w:p w:rsidR="00A113FD" w:rsidRDefault="00A113FD"/>
        </w:tc>
        <w:tc>
          <w:tcPr>
            <w:tcW w:w="6628" w:type="dxa"/>
          </w:tcPr>
          <w:p w:rsidR="00A113FD" w:rsidRDefault="000A4D8F">
            <w:pPr>
              <w:jc w:val="both"/>
            </w:pPr>
            <w:r>
              <w:lastRenderedPageBreak/>
              <w:t xml:space="preserve">              - увеличение доли  дете</w:t>
            </w:r>
            <w:proofErr w:type="gramStart"/>
            <w:r>
              <w:t>й-</w:t>
            </w:r>
            <w:proofErr w:type="gramEnd"/>
            <w:r>
              <w:t xml:space="preserve"> 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</w:t>
            </w:r>
            <w:r>
              <w:lastRenderedPageBreak/>
              <w:t>количества детей-инвалидов, родители (законные представители которых согласились на обучение таких детей с использованием дистанционных образовательных технологий, до 100%;</w:t>
            </w:r>
          </w:p>
          <w:p w:rsidR="00A113FD" w:rsidRDefault="000A4D8F">
            <w:pPr>
              <w:jc w:val="both"/>
            </w:pPr>
            <w:r>
              <w:t xml:space="preserve">        - рост доли школьников, обучающихся по  </w:t>
            </w:r>
            <w:proofErr w:type="gramStart"/>
            <w:r>
              <w:t>обновленным</w:t>
            </w:r>
            <w:proofErr w:type="gramEnd"/>
            <w:r>
              <w:t xml:space="preserve"> ФГОС, в общей численности школьников  </w:t>
            </w:r>
            <w:r>
              <w:rPr>
                <w:b/>
              </w:rPr>
              <w:t xml:space="preserve"> </w:t>
            </w:r>
            <w:r>
              <w:t>с 45% в 2023 году до 80%  в 2026 году;</w:t>
            </w:r>
          </w:p>
          <w:p w:rsidR="00A113FD" w:rsidRDefault="000A4D8F">
            <w:pPr>
              <w:jc w:val="both"/>
            </w:pPr>
            <w:r>
              <w:t xml:space="preserve">               - рост доли детей, охваченных мероприятиями регионального, всероссийского уровней, в общей численности детей в возрасте от 7 до 15 лет до 65%;</w:t>
            </w:r>
          </w:p>
          <w:p w:rsidR="00A113FD" w:rsidRDefault="000A4D8F">
            <w:pPr>
              <w:jc w:val="both"/>
              <w:rPr>
                <w:lang w:eastAsia="en-US"/>
              </w:rPr>
            </w:pPr>
            <w:r>
              <w:t xml:space="preserve">       - увеличение удельного веса численности обучающихся, участников всероссийской олимпиады школьников на региональном  этапе ее проведения от общей численности обучающихся 9-11 классов, с 25% в 2023 году до 45 % в 2026 году</w:t>
            </w:r>
          </w:p>
        </w:tc>
      </w:tr>
    </w:tbl>
    <w:p w:rsidR="00A113FD" w:rsidRDefault="00A113FD">
      <w:pPr>
        <w:jc w:val="both"/>
      </w:pPr>
    </w:p>
    <w:p w:rsidR="00A113FD" w:rsidRDefault="000A4D8F">
      <w:pPr>
        <w:jc w:val="both"/>
      </w:pPr>
      <w:r>
        <w:br w:type="textWrapping" w:clear="all"/>
      </w:r>
    </w:p>
    <w:p w:rsidR="00A113FD" w:rsidRPr="00354E57" w:rsidRDefault="000A4D8F" w:rsidP="00354E57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E57">
        <w:rPr>
          <w:rFonts w:ascii="Times New Roman" w:hAnsi="Times New Roman" w:cs="Times New Roman"/>
          <w:b/>
          <w:sz w:val="26"/>
          <w:szCs w:val="26"/>
        </w:rPr>
        <w:t xml:space="preserve">Характеристика сферы реализации  </w:t>
      </w:r>
    </w:p>
    <w:p w:rsidR="00A113FD" w:rsidRPr="00354E57" w:rsidRDefault="000A4D8F" w:rsidP="00354E57">
      <w:pPr>
        <w:autoSpaceDE w:val="0"/>
        <w:autoSpaceDN w:val="0"/>
        <w:adjustRightInd w:val="0"/>
        <w:ind w:left="2088" w:hangingChars="800" w:hanging="2088"/>
        <w:jc w:val="center"/>
        <w:rPr>
          <w:b/>
        </w:rPr>
      </w:pPr>
      <w:r w:rsidRPr="00354E57">
        <w:rPr>
          <w:b/>
          <w:sz w:val="26"/>
          <w:szCs w:val="26"/>
        </w:rPr>
        <w:t>подпрограммы №2</w:t>
      </w:r>
    </w:p>
    <w:p w:rsidR="00A113FD" w:rsidRDefault="00A113FD">
      <w:pPr>
        <w:tabs>
          <w:tab w:val="left" w:pos="284"/>
        </w:tabs>
        <w:autoSpaceDE w:val="0"/>
        <w:autoSpaceDN w:val="0"/>
        <w:adjustRightInd w:val="0"/>
        <w:ind w:left="1430"/>
        <w:contextualSpacing/>
        <w:jc w:val="center"/>
        <w:rPr>
          <w:b/>
          <w:sz w:val="26"/>
          <w:szCs w:val="26"/>
        </w:rPr>
      </w:pPr>
    </w:p>
    <w:p w:rsidR="00A113FD" w:rsidRDefault="000A4D8F">
      <w:pPr>
        <w:ind w:firstLine="284"/>
        <w:jc w:val="both"/>
      </w:pPr>
      <w:r>
        <w:t xml:space="preserve">          В 2023- 2024 учебном году в районе функционируют 10 общеобразовательных школ: из них 1 </w:t>
      </w:r>
      <w:proofErr w:type="gramStart"/>
      <w:r>
        <w:t>основная</w:t>
      </w:r>
      <w:proofErr w:type="gramEnd"/>
      <w:r>
        <w:t>, 9 средних школ, а также  3 структурных подразделения и 4 филиала.</w:t>
      </w:r>
    </w:p>
    <w:p w:rsidR="00A113FD" w:rsidRDefault="000A4D8F">
      <w:pPr>
        <w:ind w:left="567" w:hanging="141"/>
        <w:jc w:val="both"/>
      </w:pPr>
      <w:r>
        <w:t xml:space="preserve">        В сельской местности расположено 7 школ, что составляет 70% от общего количества.</w:t>
      </w:r>
    </w:p>
    <w:p w:rsidR="00A113FD" w:rsidRDefault="000A4D8F">
      <w:pPr>
        <w:jc w:val="both"/>
      </w:pPr>
      <w:r>
        <w:t xml:space="preserve">          Контингент обучающихся школ составляет 3586 детей, из которых 2418 человек – </w:t>
      </w:r>
      <w:proofErr w:type="gramStart"/>
      <w:r>
        <w:t>обучающиеся</w:t>
      </w:r>
      <w:proofErr w:type="gramEnd"/>
      <w:r>
        <w:t xml:space="preserve"> городских общеобразовательных школ и 1168 человек – обучающиеся сельских общеобразовательных учреждений. </w:t>
      </w:r>
    </w:p>
    <w:p w:rsidR="00A113FD" w:rsidRDefault="000A4D8F">
      <w:pPr>
        <w:ind w:left="-12" w:firstLine="720"/>
        <w:jc w:val="both"/>
      </w:pPr>
      <w:proofErr w:type="spellStart"/>
      <w:r>
        <w:t>Предпрофильная</w:t>
      </w:r>
      <w:proofErr w:type="spellEnd"/>
      <w:r>
        <w:t xml:space="preserve"> подготовка осуществляется через курсы по выбору, факультативные курсы и внеклассную работу. Одной из первостепенных задач является организация профильного обучения на третьей ступени обучения. </w:t>
      </w:r>
    </w:p>
    <w:p w:rsidR="00A113FD" w:rsidRDefault="000A4D8F">
      <w:pPr>
        <w:ind w:left="-12" w:firstLine="720"/>
        <w:jc w:val="both"/>
      </w:pPr>
      <w:r>
        <w:t xml:space="preserve">Все общеобразовательные учреждения имеют доступ к сети Интернет. Обеспечен безопасный доступ учащихся к сети Интернет через региональный узел контентной фильтрации. </w:t>
      </w:r>
    </w:p>
    <w:p w:rsidR="00A113FD" w:rsidRDefault="000A4D8F">
      <w:pPr>
        <w:ind w:left="-12" w:firstLine="720"/>
        <w:jc w:val="both"/>
      </w:pPr>
      <w:r>
        <w:t>В целях формирования в общеобразовательных учреждениях высокотехнологичной образовательной среды необходимо создание эффективной системы методической работы по повышению ИКТ – компетенций педагогических работников, введение электронного дневника и электронного журнала, активное использование в образовательном процессе электронных изданий и ресурсов.</w:t>
      </w:r>
    </w:p>
    <w:p w:rsidR="00A113FD" w:rsidRDefault="000A4D8F">
      <w:pPr>
        <w:ind w:firstLine="720"/>
        <w:jc w:val="both"/>
      </w:pPr>
      <w:r>
        <w:t xml:space="preserve">25% от общего количества обучающихся второй и третьей ступени обучения ежегодно участвует в муниципальном этапе всероссийской олимпиады школьников. Увеличилось количество </w:t>
      </w:r>
      <w:proofErr w:type="gramStart"/>
      <w:r>
        <w:t>обучающихся</w:t>
      </w:r>
      <w:proofErr w:type="gramEnd"/>
      <w:r>
        <w:t xml:space="preserve"> 9-11классов принявших участие в региональном этапе олимпиады. </w:t>
      </w:r>
    </w:p>
    <w:p w:rsidR="00A113FD" w:rsidRDefault="000A4D8F">
      <w:pPr>
        <w:ind w:firstLine="720"/>
        <w:jc w:val="both"/>
      </w:pPr>
      <w:r>
        <w:t xml:space="preserve">В районе сложилась модель государственно – общественного управления образованием  на уровне образовательного учреждения. Во всех образовательных учреждениях созданы органы государственно – общественного управления </w:t>
      </w:r>
      <w:proofErr w:type="gramStart"/>
      <w:r>
        <w:t>( </w:t>
      </w:r>
      <w:proofErr w:type="gramEnd"/>
      <w:r>
        <w:t>100%).</w:t>
      </w:r>
    </w:p>
    <w:p w:rsidR="00A113FD" w:rsidRDefault="000A4D8F">
      <w:pPr>
        <w:ind w:firstLine="720"/>
        <w:jc w:val="both"/>
      </w:pPr>
      <w:r>
        <w:t>Во всех школах функционируют школьные столовые, охват учащихся начальных классов школьников горячим питанием составляет 100%.</w:t>
      </w:r>
    </w:p>
    <w:p w:rsidR="00A113FD" w:rsidRDefault="000A4D8F">
      <w:pPr>
        <w:ind w:firstLine="720"/>
        <w:jc w:val="both"/>
      </w:pPr>
      <w:r>
        <w:t>Дальнейшее развитие системы общего образования  предполагает решение следующих проблем:</w:t>
      </w:r>
    </w:p>
    <w:p w:rsidR="00A113FD" w:rsidRDefault="000A4D8F">
      <w:pPr>
        <w:ind w:firstLine="720"/>
        <w:jc w:val="both"/>
      </w:pPr>
      <w:r>
        <w:t>- обеспечение возможности каждому обучающемуся получать образование в современных условиях путем концентрации кадровых, материальных, финансовых ресурсов базовой школы;</w:t>
      </w:r>
    </w:p>
    <w:p w:rsidR="00A113FD" w:rsidRDefault="000A4D8F">
      <w:pPr>
        <w:ind w:firstLine="720"/>
        <w:jc w:val="both"/>
      </w:pPr>
      <w:r>
        <w:t>- предоставление возможности выбора школьниками программ профильного образования в соответствии со склонностями и способностями;</w:t>
      </w:r>
    </w:p>
    <w:p w:rsidR="00354E57" w:rsidRDefault="00354E57">
      <w:pPr>
        <w:ind w:firstLine="720"/>
        <w:jc w:val="both"/>
      </w:pPr>
    </w:p>
    <w:p w:rsidR="00354E57" w:rsidRDefault="00354E57">
      <w:pPr>
        <w:ind w:firstLine="720"/>
        <w:jc w:val="both"/>
      </w:pPr>
    </w:p>
    <w:p w:rsidR="00354E57" w:rsidRDefault="00354E57">
      <w:pPr>
        <w:ind w:firstLine="720"/>
        <w:jc w:val="both"/>
      </w:pPr>
    </w:p>
    <w:p w:rsidR="00354E57" w:rsidRDefault="00354E57">
      <w:pPr>
        <w:ind w:firstLine="720"/>
        <w:jc w:val="both"/>
      </w:pPr>
    </w:p>
    <w:p w:rsidR="00A113FD" w:rsidRDefault="00A113FD">
      <w:pPr>
        <w:ind w:left="-720" w:firstLine="720"/>
        <w:jc w:val="both"/>
        <w:rPr>
          <w:b/>
        </w:rPr>
      </w:pPr>
    </w:p>
    <w:p w:rsidR="00A113FD" w:rsidRDefault="000A4D8F" w:rsidP="00354E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 основные задачи, целевые индикаторы, этапы и сроки реализации,</w:t>
      </w:r>
    </w:p>
    <w:p w:rsidR="00A113FD" w:rsidRDefault="000A4D8F" w:rsidP="000A4D8F">
      <w:pPr>
        <w:ind w:firstLineChars="550" w:firstLine="1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обеспечение, ожидаемые результаты реализации  подпрограммы№2</w:t>
      </w:r>
    </w:p>
    <w:p w:rsidR="00A113FD" w:rsidRDefault="00A113FD">
      <w:pPr>
        <w:jc w:val="both"/>
        <w:rPr>
          <w:b/>
          <w:lang w:eastAsia="zh-CN"/>
        </w:rPr>
      </w:pPr>
    </w:p>
    <w:p w:rsidR="00A113FD" w:rsidRDefault="000A4D8F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703"/>
        <w:jc w:val="center"/>
        <w:rPr>
          <w:rFonts w:ascii="Times New Roman" w:hAnsi="Times New Roman"/>
          <w:b/>
          <w:sz w:val="28"/>
          <w:szCs w:val="28"/>
        </w:rPr>
      </w:pPr>
      <w:r w:rsidRPr="000A4D8F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DB2E9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Цели и   основные задачи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подпрограммы </w:t>
      </w:r>
      <w:r>
        <w:rPr>
          <w:rFonts w:ascii="Times New Roman" w:hAnsi="Times New Roman"/>
          <w:b/>
          <w:sz w:val="28"/>
          <w:szCs w:val="28"/>
        </w:rPr>
        <w:t>№2</w:t>
      </w:r>
    </w:p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</w:t>
      </w:r>
      <w:r w:rsidRPr="000A4D8F">
        <w:rPr>
          <w:rFonts w:ascii="Times New Roman" w:hAnsi="Times New Roman"/>
          <w:bCs/>
          <w:sz w:val="24"/>
          <w:szCs w:val="24"/>
          <w:lang w:eastAsia="ru-RU"/>
        </w:rPr>
        <w:t xml:space="preserve"> №2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7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>№2</w:t>
      </w:r>
    </w:p>
    <w:p w:rsidR="00A113FD" w:rsidRDefault="00A113FD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113FD" w:rsidRPr="000A4D8F" w:rsidRDefault="000A4D8F" w:rsidP="000A4D8F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56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8F">
        <w:rPr>
          <w:rFonts w:ascii="Times New Roman" w:hAnsi="Times New Roman"/>
          <w:b/>
          <w:bCs/>
          <w:sz w:val="28"/>
          <w:szCs w:val="28"/>
          <w:lang w:eastAsia="ru-RU"/>
        </w:rPr>
        <w:t>3.2</w:t>
      </w:r>
      <w:r w:rsidR="00DB2E9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Целевые показатели и индикаторы реализации  подпрограммы №</w:t>
      </w:r>
      <w:r w:rsidRPr="000A4D8F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A113FD" w:rsidRDefault="00A113FD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0"/>
        <w:gridCol w:w="4814"/>
        <w:gridCol w:w="770"/>
        <w:gridCol w:w="777"/>
        <w:gridCol w:w="736"/>
        <w:gridCol w:w="751"/>
      </w:tblGrid>
      <w:tr w:rsidR="000A4D8F" w:rsidTr="000A4D8F">
        <w:tc>
          <w:tcPr>
            <w:tcW w:w="709" w:type="dxa"/>
            <w:vMerge w:val="restart"/>
          </w:tcPr>
          <w:p w:rsidR="000A4D8F" w:rsidRDefault="000A4D8F" w:rsidP="00DA245D">
            <w:pPr>
              <w:jc w:val="center"/>
            </w:pPr>
            <w:r>
              <w:t>№</w:t>
            </w:r>
          </w:p>
          <w:p w:rsidR="000A4D8F" w:rsidRDefault="000A4D8F" w:rsidP="00DA24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0" w:type="dxa"/>
            <w:vMerge w:val="restart"/>
          </w:tcPr>
          <w:p w:rsidR="000A4D8F" w:rsidRDefault="000A4D8F" w:rsidP="00DA245D">
            <w:pPr>
              <w:jc w:val="center"/>
            </w:pPr>
            <w:r>
              <w:t>Задачи,</w:t>
            </w:r>
          </w:p>
          <w:p w:rsidR="000A4D8F" w:rsidRDefault="000A4D8F" w:rsidP="00DA245D">
            <w:pPr>
              <w:jc w:val="center"/>
            </w:pPr>
            <w:r>
              <w:t xml:space="preserve"> направленные на достижение цели</w:t>
            </w:r>
          </w:p>
        </w:tc>
        <w:tc>
          <w:tcPr>
            <w:tcW w:w="4814" w:type="dxa"/>
            <w:vMerge w:val="restart"/>
          </w:tcPr>
          <w:p w:rsidR="000A4D8F" w:rsidRDefault="000A4D8F" w:rsidP="00DA245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70" w:type="dxa"/>
            <w:vMerge w:val="restart"/>
          </w:tcPr>
          <w:p w:rsidR="000A4D8F" w:rsidRDefault="000A4D8F" w:rsidP="00DA245D">
            <w:pPr>
              <w:jc w:val="center"/>
            </w:pPr>
            <w:r>
              <w:t xml:space="preserve">Ед. </w:t>
            </w:r>
          </w:p>
          <w:p w:rsidR="000A4D8F" w:rsidRDefault="000A4D8F" w:rsidP="00DA245D">
            <w:pPr>
              <w:jc w:val="center"/>
            </w:pPr>
            <w:r>
              <w:t>изм.</w:t>
            </w:r>
          </w:p>
        </w:tc>
        <w:tc>
          <w:tcPr>
            <w:tcW w:w="2264" w:type="dxa"/>
            <w:gridSpan w:val="3"/>
          </w:tcPr>
          <w:p w:rsidR="000A4D8F" w:rsidRDefault="000A4D8F" w:rsidP="00DA245D">
            <w:pPr>
              <w:jc w:val="center"/>
            </w:pPr>
            <w:r>
              <w:t>Планируемое значение показателя</w:t>
            </w:r>
          </w:p>
        </w:tc>
      </w:tr>
      <w:tr w:rsidR="000A4D8F" w:rsidTr="000A4D8F">
        <w:trPr>
          <w:trHeight w:val="573"/>
        </w:trPr>
        <w:tc>
          <w:tcPr>
            <w:tcW w:w="709" w:type="dxa"/>
            <w:vMerge/>
          </w:tcPr>
          <w:p w:rsidR="000A4D8F" w:rsidRDefault="000A4D8F" w:rsidP="00DA245D">
            <w:pPr>
              <w:jc w:val="center"/>
            </w:pPr>
          </w:p>
        </w:tc>
        <w:tc>
          <w:tcPr>
            <w:tcW w:w="2320" w:type="dxa"/>
            <w:vMerge/>
          </w:tcPr>
          <w:p w:rsidR="000A4D8F" w:rsidRDefault="000A4D8F" w:rsidP="00DA245D">
            <w:pPr>
              <w:jc w:val="center"/>
            </w:pPr>
          </w:p>
        </w:tc>
        <w:tc>
          <w:tcPr>
            <w:tcW w:w="4814" w:type="dxa"/>
            <w:vMerge/>
          </w:tcPr>
          <w:p w:rsidR="000A4D8F" w:rsidRDefault="000A4D8F" w:rsidP="00DA245D">
            <w:pPr>
              <w:jc w:val="center"/>
            </w:pPr>
          </w:p>
        </w:tc>
        <w:tc>
          <w:tcPr>
            <w:tcW w:w="770" w:type="dxa"/>
            <w:vMerge/>
          </w:tcPr>
          <w:p w:rsidR="000A4D8F" w:rsidRDefault="000A4D8F" w:rsidP="00DA245D">
            <w:pPr>
              <w:jc w:val="center"/>
            </w:pPr>
          </w:p>
        </w:tc>
        <w:tc>
          <w:tcPr>
            <w:tcW w:w="777" w:type="dxa"/>
          </w:tcPr>
          <w:p w:rsidR="000A4D8F" w:rsidRDefault="000A4D8F" w:rsidP="00DA245D">
            <w:r>
              <w:t>2024 год</w:t>
            </w:r>
          </w:p>
          <w:p w:rsidR="000A4D8F" w:rsidRDefault="000A4D8F" w:rsidP="00DA245D"/>
        </w:tc>
        <w:tc>
          <w:tcPr>
            <w:tcW w:w="736" w:type="dxa"/>
          </w:tcPr>
          <w:p w:rsidR="000A4D8F" w:rsidRDefault="000A4D8F" w:rsidP="00DA245D">
            <w:pPr>
              <w:jc w:val="center"/>
            </w:pPr>
            <w:r>
              <w:t xml:space="preserve">2025 </w:t>
            </w:r>
          </w:p>
          <w:p w:rsidR="000A4D8F" w:rsidRDefault="000A4D8F" w:rsidP="00DA245D">
            <w:pPr>
              <w:jc w:val="center"/>
            </w:pPr>
            <w:r>
              <w:t>год</w:t>
            </w:r>
          </w:p>
        </w:tc>
        <w:tc>
          <w:tcPr>
            <w:tcW w:w="751" w:type="dxa"/>
          </w:tcPr>
          <w:p w:rsidR="000A4D8F" w:rsidRDefault="000A4D8F" w:rsidP="00DA245D">
            <w:pPr>
              <w:jc w:val="center"/>
            </w:pPr>
            <w:r>
              <w:t xml:space="preserve">2026 </w:t>
            </w:r>
          </w:p>
          <w:p w:rsidR="000A4D8F" w:rsidRDefault="000A4D8F" w:rsidP="00DA245D">
            <w:pPr>
              <w:jc w:val="center"/>
            </w:pPr>
            <w:r>
              <w:t>год</w:t>
            </w:r>
          </w:p>
        </w:tc>
      </w:tr>
      <w:tr w:rsidR="000A4D8F" w:rsidTr="000A4D8F">
        <w:tc>
          <w:tcPr>
            <w:tcW w:w="709" w:type="dxa"/>
          </w:tcPr>
          <w:p w:rsidR="000A4D8F" w:rsidRDefault="000A4D8F" w:rsidP="00DA245D">
            <w:pPr>
              <w:jc w:val="center"/>
            </w:pPr>
          </w:p>
          <w:p w:rsidR="000A4D8F" w:rsidRDefault="000A4D8F" w:rsidP="00DA245D">
            <w:pPr>
              <w:jc w:val="center"/>
            </w:pPr>
          </w:p>
          <w:p w:rsidR="000A4D8F" w:rsidRDefault="000A4D8F" w:rsidP="00DA245D">
            <w:pPr>
              <w:jc w:val="center"/>
            </w:pPr>
            <w:r>
              <w:t>1.</w:t>
            </w:r>
          </w:p>
        </w:tc>
        <w:tc>
          <w:tcPr>
            <w:tcW w:w="2320" w:type="dxa"/>
          </w:tcPr>
          <w:p w:rsidR="000A4D8F" w:rsidRDefault="000A4D8F" w:rsidP="00DA245D">
            <w:pPr>
              <w:jc w:val="both"/>
            </w:pPr>
            <w:r>
              <w:t>Развитие сети и инфраструктуры учреждений образования для обеспечения доступности образовательных услуги качественных условий обучения</w:t>
            </w:r>
          </w:p>
        </w:tc>
        <w:tc>
          <w:tcPr>
            <w:tcW w:w="4814" w:type="dxa"/>
          </w:tcPr>
          <w:p w:rsidR="000A4D8F" w:rsidRDefault="000A4D8F" w:rsidP="00DA245D">
            <w:pPr>
              <w:jc w:val="both"/>
            </w:pPr>
            <w:r>
              <w:t xml:space="preserve"> </w:t>
            </w:r>
            <w:proofErr w:type="gramStart"/>
            <w:r>
              <w:t>доля  детей – 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 – инвалидов, родители (законные представители которых согласились на обучение таких детей с использованием дистанционных образовательных технологий</w:t>
            </w:r>
            <w:proofErr w:type="gramEnd"/>
          </w:p>
        </w:tc>
        <w:tc>
          <w:tcPr>
            <w:tcW w:w="770" w:type="dxa"/>
          </w:tcPr>
          <w:p w:rsidR="000A4D8F" w:rsidRDefault="000A4D8F" w:rsidP="00DA245D">
            <w:pPr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0A4D8F" w:rsidRDefault="000A4D8F" w:rsidP="00DA245D">
            <w:pPr>
              <w:jc w:val="center"/>
            </w:pPr>
            <w:r>
              <w:t>100</w:t>
            </w:r>
          </w:p>
        </w:tc>
        <w:tc>
          <w:tcPr>
            <w:tcW w:w="736" w:type="dxa"/>
          </w:tcPr>
          <w:p w:rsidR="000A4D8F" w:rsidRDefault="000A4D8F" w:rsidP="00DA245D">
            <w:pPr>
              <w:jc w:val="center"/>
            </w:pPr>
            <w:r>
              <w:t>100</w:t>
            </w:r>
          </w:p>
        </w:tc>
        <w:tc>
          <w:tcPr>
            <w:tcW w:w="751" w:type="dxa"/>
          </w:tcPr>
          <w:p w:rsidR="000A4D8F" w:rsidRDefault="000A4D8F" w:rsidP="00DA245D">
            <w:pPr>
              <w:jc w:val="center"/>
            </w:pPr>
            <w:r>
              <w:t>100</w:t>
            </w:r>
          </w:p>
        </w:tc>
      </w:tr>
      <w:tr w:rsidR="000A4D8F" w:rsidTr="000A4D8F">
        <w:trPr>
          <w:trHeight w:val="1380"/>
        </w:trPr>
        <w:tc>
          <w:tcPr>
            <w:tcW w:w="709" w:type="dxa"/>
          </w:tcPr>
          <w:p w:rsidR="000A4D8F" w:rsidRDefault="000A4D8F" w:rsidP="00DA245D">
            <w:pPr>
              <w:jc w:val="center"/>
            </w:pPr>
            <w:r>
              <w:t>2.</w:t>
            </w:r>
          </w:p>
        </w:tc>
        <w:tc>
          <w:tcPr>
            <w:tcW w:w="2320" w:type="dxa"/>
          </w:tcPr>
          <w:p w:rsidR="000A4D8F" w:rsidRDefault="000A4D8F" w:rsidP="00DA245D">
            <w:pPr>
              <w:jc w:val="both"/>
            </w:pPr>
            <w:r>
              <w:t xml:space="preserve">Модернизация содержания образования и образовательной среды в соответствии с ФГОС </w:t>
            </w:r>
          </w:p>
        </w:tc>
        <w:tc>
          <w:tcPr>
            <w:tcW w:w="4814" w:type="dxa"/>
          </w:tcPr>
          <w:p w:rsidR="000A4D8F" w:rsidRDefault="000A4D8F" w:rsidP="00DA245D">
            <w:pPr>
              <w:jc w:val="both"/>
            </w:pPr>
            <w:r>
              <w:t xml:space="preserve"> доля школьников, обучающихся по  </w:t>
            </w:r>
            <w:proofErr w:type="gramStart"/>
            <w:r>
              <w:t>обновленным</w:t>
            </w:r>
            <w:proofErr w:type="gramEnd"/>
            <w:r>
              <w:t xml:space="preserve"> ФГОС, в общей численности школьников  </w:t>
            </w:r>
          </w:p>
        </w:tc>
        <w:tc>
          <w:tcPr>
            <w:tcW w:w="770" w:type="dxa"/>
          </w:tcPr>
          <w:p w:rsidR="000A4D8F" w:rsidRDefault="000A4D8F" w:rsidP="00DA245D">
            <w:pPr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0A4D8F" w:rsidRDefault="000A4D8F" w:rsidP="00DA245D">
            <w:pPr>
              <w:jc w:val="center"/>
            </w:pPr>
            <w:r>
              <w:t>50</w:t>
            </w:r>
          </w:p>
        </w:tc>
        <w:tc>
          <w:tcPr>
            <w:tcW w:w="736" w:type="dxa"/>
          </w:tcPr>
          <w:p w:rsidR="000A4D8F" w:rsidRDefault="000A4D8F" w:rsidP="00DA245D">
            <w:pPr>
              <w:jc w:val="center"/>
            </w:pPr>
            <w:r>
              <w:t>55</w:t>
            </w:r>
          </w:p>
        </w:tc>
        <w:tc>
          <w:tcPr>
            <w:tcW w:w="751" w:type="dxa"/>
          </w:tcPr>
          <w:p w:rsidR="000A4D8F" w:rsidRDefault="000A4D8F" w:rsidP="00DA245D">
            <w:pPr>
              <w:jc w:val="center"/>
            </w:pPr>
            <w:r>
              <w:t>60</w:t>
            </w:r>
          </w:p>
        </w:tc>
      </w:tr>
      <w:tr w:rsidR="000A4D8F" w:rsidTr="000A4D8F">
        <w:trPr>
          <w:trHeight w:val="828"/>
        </w:trPr>
        <w:tc>
          <w:tcPr>
            <w:tcW w:w="709" w:type="dxa"/>
          </w:tcPr>
          <w:p w:rsidR="000A4D8F" w:rsidRDefault="000A4D8F" w:rsidP="00DA245D">
            <w:pPr>
              <w:jc w:val="center"/>
            </w:pPr>
            <w:r>
              <w:t>3.</w:t>
            </w:r>
          </w:p>
        </w:tc>
        <w:tc>
          <w:tcPr>
            <w:tcW w:w="2320" w:type="dxa"/>
          </w:tcPr>
          <w:p w:rsidR="000A4D8F" w:rsidRDefault="000A4D8F" w:rsidP="00DA245D">
            <w:pPr>
              <w:jc w:val="both"/>
            </w:pPr>
            <w:r>
              <w:t>Выявление и поддержка одаренных детей</w:t>
            </w:r>
          </w:p>
        </w:tc>
        <w:tc>
          <w:tcPr>
            <w:tcW w:w="4814" w:type="dxa"/>
          </w:tcPr>
          <w:p w:rsidR="000A4D8F" w:rsidRDefault="000A4D8F" w:rsidP="00DA245D">
            <w:pPr>
              <w:jc w:val="both"/>
            </w:pPr>
            <w:r>
              <w:t>доля детей, охваченных мероприятиями регионального, всероссийского уровней, в общей численности детей в возрасте от 7 до 15 лет</w:t>
            </w:r>
          </w:p>
        </w:tc>
        <w:tc>
          <w:tcPr>
            <w:tcW w:w="770" w:type="dxa"/>
          </w:tcPr>
          <w:p w:rsidR="000A4D8F" w:rsidRDefault="000A4D8F" w:rsidP="00DA245D">
            <w:pPr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0A4D8F" w:rsidRDefault="000A4D8F" w:rsidP="00DA245D">
            <w:pPr>
              <w:jc w:val="center"/>
            </w:pPr>
            <w:r>
              <w:t>48</w:t>
            </w:r>
          </w:p>
        </w:tc>
        <w:tc>
          <w:tcPr>
            <w:tcW w:w="736" w:type="dxa"/>
          </w:tcPr>
          <w:p w:rsidR="000A4D8F" w:rsidRDefault="000A4D8F" w:rsidP="00DA245D">
            <w:pPr>
              <w:jc w:val="center"/>
            </w:pPr>
            <w:r>
              <w:t>56</w:t>
            </w:r>
          </w:p>
        </w:tc>
        <w:tc>
          <w:tcPr>
            <w:tcW w:w="751" w:type="dxa"/>
          </w:tcPr>
          <w:p w:rsidR="000A4D8F" w:rsidRDefault="000A4D8F" w:rsidP="00DA245D">
            <w:pPr>
              <w:jc w:val="center"/>
            </w:pPr>
            <w:r>
              <w:t>65</w:t>
            </w:r>
          </w:p>
        </w:tc>
      </w:tr>
      <w:tr w:rsidR="000A4D8F" w:rsidTr="000A4D8F">
        <w:tc>
          <w:tcPr>
            <w:tcW w:w="709" w:type="dxa"/>
          </w:tcPr>
          <w:p w:rsidR="000A4D8F" w:rsidRDefault="000A4D8F" w:rsidP="00DA245D">
            <w:pPr>
              <w:jc w:val="center"/>
            </w:pPr>
            <w:r>
              <w:t>4.</w:t>
            </w:r>
          </w:p>
        </w:tc>
        <w:tc>
          <w:tcPr>
            <w:tcW w:w="2320" w:type="dxa"/>
          </w:tcPr>
          <w:p w:rsidR="000A4D8F" w:rsidRDefault="000A4D8F" w:rsidP="00DA245D">
            <w:r>
              <w:t>Обеспечение информационной открытости муниципальной системы образования</w:t>
            </w:r>
          </w:p>
        </w:tc>
        <w:tc>
          <w:tcPr>
            <w:tcW w:w="4814" w:type="dxa"/>
          </w:tcPr>
          <w:p w:rsidR="000A4D8F" w:rsidRDefault="000A4D8F" w:rsidP="00DA245D">
            <w:pPr>
              <w:jc w:val="both"/>
            </w:pPr>
            <w:r>
              <w:t>удельный вес образовательных учреждений, обеспечивающих предоставление нормативно -  закрепленного перечня сведений о своей деятельности на официальных сайтах</w:t>
            </w:r>
          </w:p>
        </w:tc>
        <w:tc>
          <w:tcPr>
            <w:tcW w:w="770" w:type="dxa"/>
          </w:tcPr>
          <w:p w:rsidR="000A4D8F" w:rsidRDefault="000A4D8F" w:rsidP="00DA245D">
            <w:pPr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0A4D8F" w:rsidRDefault="000A4D8F" w:rsidP="00DA245D">
            <w:pPr>
              <w:jc w:val="center"/>
            </w:pPr>
            <w:r>
              <w:t>100</w:t>
            </w:r>
          </w:p>
        </w:tc>
        <w:tc>
          <w:tcPr>
            <w:tcW w:w="736" w:type="dxa"/>
          </w:tcPr>
          <w:p w:rsidR="000A4D8F" w:rsidRDefault="000A4D8F" w:rsidP="00DA245D">
            <w:pPr>
              <w:jc w:val="center"/>
            </w:pPr>
            <w:r>
              <w:t>100</w:t>
            </w:r>
          </w:p>
        </w:tc>
        <w:tc>
          <w:tcPr>
            <w:tcW w:w="751" w:type="dxa"/>
          </w:tcPr>
          <w:p w:rsidR="000A4D8F" w:rsidRDefault="000A4D8F" w:rsidP="00DA245D">
            <w:pPr>
              <w:jc w:val="center"/>
            </w:pPr>
            <w:r>
              <w:t>100</w:t>
            </w:r>
          </w:p>
        </w:tc>
      </w:tr>
    </w:tbl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DB2E97" w:rsidRDefault="00DB2E97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8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E97" w:rsidRDefault="00DB2E97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8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13FD" w:rsidRDefault="000A4D8F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84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A4D8F">
        <w:rPr>
          <w:rFonts w:ascii="Times New Roman" w:hAnsi="Times New Roman"/>
          <w:b/>
          <w:bCs/>
          <w:sz w:val="28"/>
          <w:szCs w:val="28"/>
          <w:lang w:eastAsia="ru-RU"/>
        </w:rPr>
        <w:t>3.3</w:t>
      </w:r>
      <w:r w:rsidR="00DB2E9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Этапы и сроки реализации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подпрограммы №</w:t>
      </w:r>
      <w:r w:rsidRPr="000A4D8F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A113FD" w:rsidRDefault="00A113FD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№2 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>№2</w:t>
      </w:r>
    </w:p>
    <w:p w:rsidR="00A113FD" w:rsidRDefault="00A113FD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113FD" w:rsidRDefault="000A4D8F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D8F">
        <w:rPr>
          <w:rFonts w:ascii="Times New Roman" w:hAnsi="Times New Roman"/>
          <w:b/>
          <w:sz w:val="28"/>
          <w:szCs w:val="28"/>
          <w:lang w:eastAsia="ru-RU"/>
        </w:rPr>
        <w:t>3.4</w:t>
      </w:r>
      <w:r w:rsidR="00DB2E9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Ресурсное обеспечение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подпрограммы</w:t>
      </w:r>
      <w:r w:rsidRPr="000A4D8F">
        <w:rPr>
          <w:rFonts w:ascii="Times New Roman" w:hAnsi="Times New Roman"/>
          <w:b/>
          <w:sz w:val="28"/>
          <w:szCs w:val="28"/>
          <w:lang w:eastAsia="ru-RU"/>
        </w:rPr>
        <w:t xml:space="preserve"> №2</w:t>
      </w:r>
    </w:p>
    <w:p w:rsidR="00DB2E97" w:rsidRDefault="00DB2E97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Ресурсное обеспечение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№</w:t>
      </w:r>
      <w:r w:rsidRPr="000A4D8F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представлено в приложении №1 к  муниципальной программе  </w:t>
      </w:r>
    </w:p>
    <w:p w:rsidR="00A113FD" w:rsidRDefault="00A113FD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113FD" w:rsidRDefault="000A4D8F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sz w:val="28"/>
          <w:szCs w:val="28"/>
        </w:rPr>
      </w:pPr>
      <w:r w:rsidRPr="000A4D8F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="00DB2E9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Ожидаемые результаты реализации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подпрограммы </w:t>
      </w:r>
      <w:r>
        <w:rPr>
          <w:rFonts w:ascii="Times New Roman" w:hAnsi="Times New Roman"/>
          <w:b/>
          <w:sz w:val="28"/>
          <w:szCs w:val="28"/>
        </w:rPr>
        <w:t>№2</w:t>
      </w:r>
    </w:p>
    <w:p w:rsidR="00A113FD" w:rsidRDefault="00A113FD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Ожидаемые результаты реализации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№2 представлены в пункте 13 к  Паспорту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программы  </w:t>
      </w:r>
    </w:p>
    <w:p w:rsidR="00A113FD" w:rsidRDefault="00A113FD">
      <w:pPr>
        <w:ind w:left="-720" w:firstLine="720"/>
        <w:jc w:val="both"/>
      </w:pPr>
    </w:p>
    <w:p w:rsidR="00A113FD" w:rsidRDefault="000A4D8F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 w:eastAsia="ru-RU"/>
        </w:rPr>
        <w:t>IV</w:t>
      </w:r>
      <w:r>
        <w:rPr>
          <w:b/>
          <w:bCs/>
          <w:sz w:val="26"/>
          <w:szCs w:val="26"/>
          <w:lang w:eastAsia="ru-RU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Механизм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реализации  подпрограммы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№2</w:t>
      </w:r>
    </w:p>
    <w:p w:rsidR="00A113FD" w:rsidRDefault="00A113FD" w:rsidP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113FD" w:rsidRPr="000A4D8F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Механизм реализации  подпрограммы №2  представлен в пункте </w:t>
      </w:r>
      <w:r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0A4D8F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программы.</w:t>
      </w:r>
    </w:p>
    <w:p w:rsidR="00A113FD" w:rsidRDefault="00A113FD" w:rsidP="000A4D8F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A113FD" w:rsidRDefault="000A4D8F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A4D8F" w:rsidRDefault="000A4D8F">
      <w:pPr>
        <w:jc w:val="both"/>
      </w:pPr>
    </w:p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Pr="000A4D8F" w:rsidRDefault="000A4D8F" w:rsidP="000A4D8F"/>
    <w:p w:rsidR="000A4D8F" w:rsidRDefault="000A4D8F" w:rsidP="000A4D8F"/>
    <w:p w:rsidR="000A4D8F" w:rsidRPr="000A4D8F" w:rsidRDefault="000A4D8F" w:rsidP="000A4D8F"/>
    <w:p w:rsidR="000A4D8F" w:rsidRPr="000A4D8F" w:rsidRDefault="000A4D8F" w:rsidP="000A4D8F"/>
    <w:p w:rsidR="00A113FD" w:rsidRPr="000A4D8F" w:rsidRDefault="000A4D8F" w:rsidP="000A4D8F">
      <w:pPr>
        <w:tabs>
          <w:tab w:val="left" w:pos="1195"/>
        </w:tabs>
        <w:sectPr w:rsidR="00A113FD" w:rsidRPr="000A4D8F" w:rsidSect="00354E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426" w:left="851" w:header="397" w:footer="397" w:gutter="0"/>
          <w:cols w:space="708"/>
          <w:docGrid w:linePitch="360"/>
        </w:sectPr>
      </w:pPr>
      <w:r>
        <w:tab/>
      </w:r>
    </w:p>
    <w:p w:rsidR="00A113FD" w:rsidRDefault="00A113FD" w:rsidP="000A4D8F">
      <w:pPr>
        <w:tabs>
          <w:tab w:val="left" w:pos="213"/>
          <w:tab w:val="right" w:pos="15165"/>
        </w:tabs>
      </w:pPr>
    </w:p>
    <w:p w:rsidR="00A113FD" w:rsidRDefault="00A113FD">
      <w:pPr>
        <w:sectPr w:rsidR="00A113FD">
          <w:pgSz w:w="11906" w:h="16838"/>
          <w:pgMar w:top="539" w:right="567" w:bottom="1134" w:left="0" w:header="709" w:footer="709" w:gutter="0"/>
          <w:cols w:space="708"/>
          <w:docGrid w:linePitch="360"/>
        </w:sectPr>
      </w:pPr>
    </w:p>
    <w:p w:rsidR="00A113FD" w:rsidRDefault="000A4D8F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ab/>
      </w:r>
    </w:p>
    <w:p w:rsidR="00A113FD" w:rsidRDefault="00A113FD"/>
    <w:sectPr w:rsidR="00A113FD">
      <w:headerReference w:type="even" r:id="rId15"/>
      <w:headerReference w:type="default" r:id="rId1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F9" w:rsidRDefault="000A4D8F">
      <w:r>
        <w:separator/>
      </w:r>
    </w:p>
  </w:endnote>
  <w:endnote w:type="continuationSeparator" w:id="0">
    <w:p w:rsidR="00490CF9" w:rsidRDefault="000A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A113FD">
    <w:pPr>
      <w:pStyle w:val="af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A113FD">
    <w:pPr>
      <w:pStyle w:val="af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A113FD">
    <w:pPr>
      <w:pStyle w:val="af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F9" w:rsidRDefault="000A4D8F">
      <w:r>
        <w:separator/>
      </w:r>
    </w:p>
  </w:footnote>
  <w:footnote w:type="continuationSeparator" w:id="0">
    <w:p w:rsidR="00490CF9" w:rsidRDefault="000A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0A4D8F">
    <w:pPr>
      <w:pStyle w:val="ac"/>
      <w:jc w:val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>
      <w:rPr>
        <w:sz w:val="19"/>
        <w:szCs w:val="19"/>
      </w:rPr>
      <w:fldChar w:fldCharType="separate"/>
    </w:r>
    <w:r>
      <w:rPr>
        <w:sz w:val="19"/>
        <w:szCs w:val="19"/>
      </w:rPr>
      <w:t>16</w:t>
    </w:r>
    <w:r>
      <w:rPr>
        <w:sz w:val="19"/>
        <w:szCs w:val="19"/>
      </w:rPr>
      <w:fldChar w:fldCharType="end"/>
    </w:r>
  </w:p>
  <w:p w:rsidR="00A113FD" w:rsidRDefault="00A113FD">
    <w:pPr>
      <w:pStyle w:val="ac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A113FD">
    <w:pPr>
      <w:pStyle w:val="ac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A113FD">
    <w:pPr>
      <w:pStyle w:val="ac"/>
      <w:jc w:val="center"/>
      <w:rPr>
        <w:sz w:val="19"/>
        <w:szCs w:val="19"/>
      </w:rPr>
    </w:pPr>
  </w:p>
  <w:p w:rsidR="00A113FD" w:rsidRDefault="00A113FD">
    <w:pPr>
      <w:pStyle w:val="ac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0A4D8F">
    <w:pPr>
      <w:pStyle w:val="ac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13FD" w:rsidRDefault="00A113F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D" w:rsidRDefault="00A113F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A08"/>
    <w:multiLevelType w:val="singleLevel"/>
    <w:tmpl w:val="284F0A08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</w:rPr>
    </w:lvl>
  </w:abstractNum>
  <w:abstractNum w:abstractNumId="1">
    <w:nsid w:val="7403B13D"/>
    <w:multiLevelType w:val="singleLevel"/>
    <w:tmpl w:val="7403B13D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65"/>
    <w:rsid w:val="000144AF"/>
    <w:rsid w:val="00014FC9"/>
    <w:rsid w:val="00041AB9"/>
    <w:rsid w:val="00063485"/>
    <w:rsid w:val="00072C64"/>
    <w:rsid w:val="000A3463"/>
    <w:rsid w:val="000A4D8F"/>
    <w:rsid w:val="000A6F27"/>
    <w:rsid w:val="000D2820"/>
    <w:rsid w:val="000F7501"/>
    <w:rsid w:val="0015586E"/>
    <w:rsid w:val="0018654C"/>
    <w:rsid w:val="00195867"/>
    <w:rsid w:val="001D5DEA"/>
    <w:rsid w:val="001F4768"/>
    <w:rsid w:val="002639B3"/>
    <w:rsid w:val="00272C02"/>
    <w:rsid w:val="00285194"/>
    <w:rsid w:val="00292DBC"/>
    <w:rsid w:val="0029466F"/>
    <w:rsid w:val="002C1E37"/>
    <w:rsid w:val="002D43A6"/>
    <w:rsid w:val="002E33D8"/>
    <w:rsid w:val="002E4EED"/>
    <w:rsid w:val="00304B27"/>
    <w:rsid w:val="00305E20"/>
    <w:rsid w:val="003153A9"/>
    <w:rsid w:val="00345AA4"/>
    <w:rsid w:val="00354E57"/>
    <w:rsid w:val="00355209"/>
    <w:rsid w:val="00393A15"/>
    <w:rsid w:val="00397DF1"/>
    <w:rsid w:val="003B4BA2"/>
    <w:rsid w:val="003C63F6"/>
    <w:rsid w:val="003D0237"/>
    <w:rsid w:val="003E1643"/>
    <w:rsid w:val="003F65D4"/>
    <w:rsid w:val="00482207"/>
    <w:rsid w:val="00490CF9"/>
    <w:rsid w:val="0049515E"/>
    <w:rsid w:val="004B7422"/>
    <w:rsid w:val="004E1D9A"/>
    <w:rsid w:val="004F3E7F"/>
    <w:rsid w:val="005C2C40"/>
    <w:rsid w:val="00651C6D"/>
    <w:rsid w:val="00653F79"/>
    <w:rsid w:val="00675B5E"/>
    <w:rsid w:val="006A45DB"/>
    <w:rsid w:val="006B73F5"/>
    <w:rsid w:val="006C2F4E"/>
    <w:rsid w:val="00705963"/>
    <w:rsid w:val="007200F8"/>
    <w:rsid w:val="00745F6A"/>
    <w:rsid w:val="0075587F"/>
    <w:rsid w:val="00774EE6"/>
    <w:rsid w:val="007B5233"/>
    <w:rsid w:val="007C04EA"/>
    <w:rsid w:val="007D3D54"/>
    <w:rsid w:val="008119D1"/>
    <w:rsid w:val="008277FA"/>
    <w:rsid w:val="00855072"/>
    <w:rsid w:val="0087454E"/>
    <w:rsid w:val="00876B06"/>
    <w:rsid w:val="008B45DE"/>
    <w:rsid w:val="008B695D"/>
    <w:rsid w:val="008C00CB"/>
    <w:rsid w:val="008D0C65"/>
    <w:rsid w:val="008D261B"/>
    <w:rsid w:val="008E5001"/>
    <w:rsid w:val="008F4D14"/>
    <w:rsid w:val="00922A5D"/>
    <w:rsid w:val="00943CCD"/>
    <w:rsid w:val="00974FA4"/>
    <w:rsid w:val="00986F07"/>
    <w:rsid w:val="00987C98"/>
    <w:rsid w:val="009A7980"/>
    <w:rsid w:val="009C4AD4"/>
    <w:rsid w:val="009D00B3"/>
    <w:rsid w:val="009E0E67"/>
    <w:rsid w:val="00A0307E"/>
    <w:rsid w:val="00A113FD"/>
    <w:rsid w:val="00A21265"/>
    <w:rsid w:val="00A35DFB"/>
    <w:rsid w:val="00A77F8C"/>
    <w:rsid w:val="00A82FD8"/>
    <w:rsid w:val="00A94D10"/>
    <w:rsid w:val="00AC76D9"/>
    <w:rsid w:val="00AE1635"/>
    <w:rsid w:val="00AE4AEF"/>
    <w:rsid w:val="00B17B68"/>
    <w:rsid w:val="00B31B16"/>
    <w:rsid w:val="00B62FED"/>
    <w:rsid w:val="00B6683C"/>
    <w:rsid w:val="00BD1D6A"/>
    <w:rsid w:val="00BD3278"/>
    <w:rsid w:val="00BE7E4B"/>
    <w:rsid w:val="00C31817"/>
    <w:rsid w:val="00C3286C"/>
    <w:rsid w:val="00C4250F"/>
    <w:rsid w:val="00C524C0"/>
    <w:rsid w:val="00C66C75"/>
    <w:rsid w:val="00CC399E"/>
    <w:rsid w:val="00D105A1"/>
    <w:rsid w:val="00D14540"/>
    <w:rsid w:val="00D4598D"/>
    <w:rsid w:val="00D60D42"/>
    <w:rsid w:val="00D67F22"/>
    <w:rsid w:val="00D92212"/>
    <w:rsid w:val="00DB2E97"/>
    <w:rsid w:val="00DB4D5F"/>
    <w:rsid w:val="00DF1415"/>
    <w:rsid w:val="00E602CD"/>
    <w:rsid w:val="00EB0EA0"/>
    <w:rsid w:val="00EB5BB3"/>
    <w:rsid w:val="00F659DB"/>
    <w:rsid w:val="00F80BE7"/>
    <w:rsid w:val="00F84FF4"/>
    <w:rsid w:val="00FA38F3"/>
    <w:rsid w:val="00FA4346"/>
    <w:rsid w:val="07857CB9"/>
    <w:rsid w:val="13A7078B"/>
    <w:rsid w:val="351D12E2"/>
    <w:rsid w:val="369E1BD4"/>
    <w:rsid w:val="743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paragraph" w:styleId="ac">
    <w:name w:val="header"/>
    <w:basedOn w:val="a"/>
    <w:link w:val="ad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qFormat/>
    <w:rPr>
      <w:sz w:val="28"/>
      <w:szCs w:val="20"/>
    </w:rPr>
  </w:style>
  <w:style w:type="paragraph" w:styleId="af0">
    <w:name w:val="footer"/>
    <w:basedOn w:val="a"/>
    <w:link w:val="af1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qFormat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qFormat/>
    <w:rPr>
      <w:sz w:val="26"/>
      <w:szCs w:val="26"/>
      <w:lang w:bidi="ar-SA"/>
    </w:rPr>
  </w:style>
  <w:style w:type="character" w:customStyle="1" w:styleId="12">
    <w:name w:val="Основной текст + 12"/>
    <w:qFormat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14pt1">
    <w:name w:val="Основной текст + 14 pt1"/>
    <w:qFormat/>
    <w:rPr>
      <w:i/>
      <w:iCs/>
      <w:sz w:val="28"/>
      <w:szCs w:val="28"/>
      <w:lang w:bidi="ar-SA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paragraph" w:customStyle="1" w:styleId="af4">
    <w:name w:val="Таблицы (моноширинный)"/>
    <w:basedOn w:val="a"/>
    <w:next w:val="a"/>
    <w:qFormat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qFormat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C2D4-DD45-45AF-8165-43C92CD5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80</cp:revision>
  <cp:lastPrinted>2023-11-13T20:03:00Z</cp:lastPrinted>
  <dcterms:created xsi:type="dcterms:W3CDTF">2020-10-20T08:10:00Z</dcterms:created>
  <dcterms:modified xsi:type="dcterms:W3CDTF">2023-11-17T08:58:00Z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7F5FEB93AA3C43D2B06E6D0FD97F3838_12</vt:lpwstr>
  </property>
</Properties>
</file>