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CDA9D" w14:textId="777B2F72" w:rsidR="005E5794" w:rsidRDefault="005E5794" w:rsidP="002630D7">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24.06.2022</w:t>
      </w:r>
    </w:p>
    <w:p w14:paraId="4BD831E8" w14:textId="77777777" w:rsidR="005E5794" w:rsidRDefault="005E5794" w:rsidP="002630D7">
      <w:pPr>
        <w:spacing w:after="0" w:line="240" w:lineRule="auto"/>
        <w:jc w:val="both"/>
        <w:rPr>
          <w:rFonts w:ascii="Times New Roman" w:eastAsia="Times New Roman" w:hAnsi="Times New Roman" w:cs="Times New Roman"/>
          <w:b/>
          <w:bCs/>
          <w:sz w:val="24"/>
          <w:szCs w:val="24"/>
          <w:lang w:eastAsia="ru-RU"/>
        </w:rPr>
      </w:pPr>
    </w:p>
    <w:p w14:paraId="42FF31CB" w14:textId="77777777" w:rsidR="005E5794" w:rsidRDefault="005E5794" w:rsidP="002630D7">
      <w:pPr>
        <w:spacing w:after="0" w:line="240" w:lineRule="auto"/>
        <w:jc w:val="both"/>
        <w:rPr>
          <w:rFonts w:ascii="Times New Roman" w:eastAsia="Times New Roman" w:hAnsi="Times New Roman" w:cs="Times New Roman"/>
          <w:b/>
          <w:bCs/>
          <w:sz w:val="24"/>
          <w:szCs w:val="24"/>
          <w:lang w:eastAsia="ru-RU"/>
        </w:rPr>
      </w:pPr>
    </w:p>
    <w:p w14:paraId="0B7C9ECF" w14:textId="1C7B5882"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b/>
          <w:bCs/>
          <w:sz w:val="24"/>
          <w:szCs w:val="24"/>
          <w:lang w:eastAsia="ru-RU"/>
        </w:rPr>
        <w:t>Расширен перечень отраслей для предоставления субъектам МСП кредитных каникул</w:t>
      </w:r>
      <w:r w:rsidRPr="002630D7">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2630D7" w:rsidRPr="002630D7" w14:paraId="61B1AD2C" w14:textId="77777777" w:rsidTr="002630D7">
        <w:tc>
          <w:tcPr>
            <w:tcW w:w="180" w:type="dxa"/>
            <w:tcMar>
              <w:top w:w="0" w:type="dxa"/>
              <w:left w:w="180" w:type="dxa"/>
              <w:bottom w:w="0" w:type="dxa"/>
              <w:right w:w="150" w:type="dxa"/>
            </w:tcMar>
            <w:hideMark/>
          </w:tcPr>
          <w:p w14:paraId="46E51AEE" w14:textId="341705C0"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noProof/>
              </w:rPr>
              <w:drawing>
                <wp:inline distT="0" distB="0" distL="0" distR="0" wp14:anchorId="64C24276" wp14:editId="3451758A">
                  <wp:extent cx="112395" cy="146685"/>
                  <wp:effectExtent l="0" t="0" r="1905" b="5715"/>
                  <wp:docPr id="1" name="Рисунок 1" descr="C:\Users\Bondar.Al.A\AppData\Local\Microsoft\Windows\INetCache\Content.MSO\753CE8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dar.Al.A\AppData\Local\Microsoft\Windows\INetCache\Content.MSO\753CE8F7.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 cy="14668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5E46EAFC" w14:textId="77777777" w:rsidR="002630D7" w:rsidRPr="002630D7" w:rsidRDefault="002630D7" w:rsidP="002630D7">
            <w:pPr>
              <w:spacing w:after="0" w:line="240" w:lineRule="auto"/>
              <w:rPr>
                <w:rFonts w:ascii="Times New Roman" w:eastAsia="Times New Roman" w:hAnsi="Times New Roman" w:cs="Times New Roman"/>
                <w:sz w:val="24"/>
                <w:szCs w:val="24"/>
                <w:lang w:eastAsia="ru-RU"/>
              </w:rPr>
            </w:pPr>
            <w:r w:rsidRPr="002630D7">
              <w:rPr>
                <w:rFonts w:ascii="Times New Roman" w:eastAsia="Times New Roman" w:hAnsi="Times New Roman" w:cs="Times New Roman"/>
                <w:sz w:val="24"/>
                <w:szCs w:val="24"/>
                <w:lang w:eastAsia="ru-RU"/>
              </w:rPr>
              <w:t>Постановление Правительства РФ от 17.06.2022 N 1096</w:t>
            </w:r>
            <w:r w:rsidRPr="002630D7">
              <w:rPr>
                <w:rFonts w:ascii="Times New Roman" w:eastAsia="Times New Roman" w:hAnsi="Times New Roman" w:cs="Times New Roman"/>
                <w:sz w:val="24"/>
                <w:szCs w:val="24"/>
                <w:lang w:eastAsia="ru-RU"/>
              </w:rPr>
              <w:br/>
              <w:t xml:space="preserve">"О внесении изменения в раздел 5 перечня отраслей, в которых осуществляет деятельность заемщик, указанный в части 1 статьи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w:t>
            </w:r>
          </w:p>
        </w:tc>
      </w:tr>
    </w:tbl>
    <w:p w14:paraId="784D52D6" w14:textId="77777777"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sz w:val="24"/>
          <w:szCs w:val="24"/>
          <w:lang w:eastAsia="ru-RU"/>
        </w:rPr>
        <w:t xml:space="preserve">Так, заемщик из числа субъектов МСП вправе обратиться за получением отсрочки в период с 1 марта по 30 сентября 2022 года при осуществлении им, в частности, деятельности прочего сухопутного пассажирского транспорта. </w:t>
      </w:r>
    </w:p>
    <w:p w14:paraId="496FE47C" w14:textId="467DA414" w:rsid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sz w:val="24"/>
          <w:szCs w:val="24"/>
          <w:lang w:eastAsia="ru-RU"/>
        </w:rPr>
        <w:t xml:space="preserve">Напоминаем, что заемщик вправе обратиться к кредитору с требованием о предоставлении кредитных каникул при условии, что кредитный договор был заключен в период до 1 марта 2022 года. </w:t>
      </w:r>
    </w:p>
    <w:p w14:paraId="5D0C77E5" w14:textId="426063DC" w:rsidR="002630D7" w:rsidRDefault="002630D7" w:rsidP="002630D7">
      <w:pPr>
        <w:spacing w:after="0" w:line="240" w:lineRule="auto"/>
        <w:jc w:val="both"/>
        <w:rPr>
          <w:rFonts w:ascii="Times New Roman" w:eastAsia="Times New Roman" w:hAnsi="Times New Roman" w:cs="Times New Roman"/>
          <w:sz w:val="24"/>
          <w:szCs w:val="24"/>
          <w:lang w:eastAsia="ru-RU"/>
        </w:rPr>
      </w:pPr>
    </w:p>
    <w:p w14:paraId="1066786E" w14:textId="77777777"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b/>
          <w:bCs/>
          <w:sz w:val="24"/>
          <w:szCs w:val="24"/>
          <w:lang w:eastAsia="ru-RU"/>
        </w:rPr>
        <w:t>Правительство снизило ставку по льготной ипотеке с 9 до 7 процентов</w:t>
      </w:r>
      <w:r w:rsidRPr="002630D7">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2630D7" w:rsidRPr="002630D7" w14:paraId="1DF9895F" w14:textId="77777777" w:rsidTr="002630D7">
        <w:tc>
          <w:tcPr>
            <w:tcW w:w="180" w:type="dxa"/>
            <w:tcMar>
              <w:top w:w="0" w:type="dxa"/>
              <w:left w:w="180" w:type="dxa"/>
              <w:bottom w:w="0" w:type="dxa"/>
              <w:right w:w="150" w:type="dxa"/>
            </w:tcMar>
            <w:hideMark/>
          </w:tcPr>
          <w:p w14:paraId="4626BE25" w14:textId="3369CBD2"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noProof/>
                <w:sz w:val="24"/>
                <w:szCs w:val="24"/>
                <w:lang w:eastAsia="ru-RU"/>
              </w:rPr>
              <w:drawing>
                <wp:inline distT="0" distB="0" distL="0" distR="0" wp14:anchorId="7DE3349D" wp14:editId="3A3236B7">
                  <wp:extent cx="112395" cy="146685"/>
                  <wp:effectExtent l="0" t="0" r="1905" b="5715"/>
                  <wp:docPr id="2" name="Рисунок 2" descr="C:\Users\Bondar.Al.A\AppData\Local\Microsoft\Windows\INetCache\Content.MSO\700FF5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dar.Al.A\AppData\Local\Microsoft\Windows\INetCache\Content.MSO\700FF51D.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 cy="14668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57597565" w14:textId="77777777" w:rsidR="002630D7" w:rsidRPr="002630D7" w:rsidRDefault="002630D7" w:rsidP="002630D7">
            <w:pPr>
              <w:spacing w:after="0" w:line="240" w:lineRule="auto"/>
              <w:rPr>
                <w:rFonts w:ascii="Times New Roman" w:eastAsia="Times New Roman" w:hAnsi="Times New Roman" w:cs="Times New Roman"/>
                <w:sz w:val="24"/>
                <w:szCs w:val="24"/>
                <w:lang w:eastAsia="ru-RU"/>
              </w:rPr>
            </w:pPr>
            <w:r w:rsidRPr="002630D7">
              <w:rPr>
                <w:rFonts w:ascii="Times New Roman" w:eastAsia="Times New Roman" w:hAnsi="Times New Roman" w:cs="Times New Roman"/>
                <w:sz w:val="24"/>
                <w:szCs w:val="24"/>
                <w:lang w:eastAsia="ru-RU"/>
              </w:rPr>
              <w:t>Постановление Правительства РФ от 20.06.2022 N 1109</w:t>
            </w:r>
            <w:r w:rsidRPr="002630D7">
              <w:rPr>
                <w:rFonts w:ascii="Times New Roman" w:eastAsia="Times New Roman" w:hAnsi="Times New Roman" w:cs="Times New Roman"/>
                <w:sz w:val="24"/>
                <w:szCs w:val="24"/>
                <w:lang w:eastAsia="ru-RU"/>
              </w:rPr>
              <w:br/>
              <w:t xml:space="preserve">"О внесении изменений в Правила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 </w:t>
            </w:r>
          </w:p>
        </w:tc>
      </w:tr>
    </w:tbl>
    <w:p w14:paraId="0917C7A6" w14:textId="77777777"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sz w:val="24"/>
          <w:szCs w:val="24"/>
          <w:lang w:eastAsia="ru-RU"/>
        </w:rPr>
        <w:t xml:space="preserve">При этом максимальная сумма льготного кредита для Москвы и Московской области, Санкт-Петербурга и Ленинградской области не должна превышать 12 млн рублей, для остальных субъектов РФ - 6 млн рублей. </w:t>
      </w:r>
    </w:p>
    <w:p w14:paraId="7052DF61" w14:textId="77777777"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sz w:val="24"/>
          <w:szCs w:val="24"/>
          <w:lang w:eastAsia="ru-RU"/>
        </w:rPr>
        <w:t xml:space="preserve">Соответствующие изменения внесены в порядок возмещения кредитным и иным организациям недополученных ими доходов по жилищным (ипотечным) кредитам (займам), выданным гражданам РФ в 2020 - 2022 годах. </w:t>
      </w:r>
    </w:p>
    <w:p w14:paraId="06E3B655" w14:textId="77777777"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p>
    <w:p w14:paraId="7B61358E" w14:textId="77777777"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b/>
          <w:bCs/>
          <w:sz w:val="24"/>
          <w:szCs w:val="24"/>
          <w:lang w:eastAsia="ru-RU"/>
        </w:rPr>
        <w:t>Минтрудом России разъяснен порядок применения особенностей регулирования трудовых отношений и иных непосредственно связанных с ними отношений в 2022 году</w:t>
      </w:r>
      <w:r w:rsidRPr="002630D7">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2630D7" w:rsidRPr="002630D7" w14:paraId="487A15E9" w14:textId="77777777" w:rsidTr="002630D7">
        <w:tc>
          <w:tcPr>
            <w:tcW w:w="180" w:type="dxa"/>
            <w:tcMar>
              <w:top w:w="0" w:type="dxa"/>
              <w:left w:w="180" w:type="dxa"/>
              <w:bottom w:w="0" w:type="dxa"/>
              <w:right w:w="150" w:type="dxa"/>
            </w:tcMar>
            <w:hideMark/>
          </w:tcPr>
          <w:p w14:paraId="5B508DE2" w14:textId="65F7ACD3"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noProof/>
              </w:rPr>
              <w:drawing>
                <wp:inline distT="0" distB="0" distL="0" distR="0" wp14:anchorId="75774363" wp14:editId="22DF2769">
                  <wp:extent cx="112395" cy="146685"/>
                  <wp:effectExtent l="0" t="0" r="1905" b="5715"/>
                  <wp:docPr id="3" name="Рисунок 3" descr="C:\Users\Bondar.Al.A\AppData\Local\Microsoft\Windows\INetCache\Content.MSO\F010A2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dar.Al.A\AppData\Local\Microsoft\Windows\INetCache\Content.MSO\F010A233.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 cy="14668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3C5FF656" w14:textId="77777777" w:rsidR="002630D7" w:rsidRPr="002630D7" w:rsidRDefault="002630D7" w:rsidP="002630D7">
            <w:pPr>
              <w:spacing w:after="0" w:line="240" w:lineRule="auto"/>
              <w:rPr>
                <w:rFonts w:ascii="Times New Roman" w:eastAsia="Times New Roman" w:hAnsi="Times New Roman" w:cs="Times New Roman"/>
                <w:sz w:val="24"/>
                <w:szCs w:val="24"/>
                <w:lang w:eastAsia="ru-RU"/>
              </w:rPr>
            </w:pPr>
            <w:r w:rsidRPr="002630D7">
              <w:rPr>
                <w:rFonts w:ascii="Times New Roman" w:eastAsia="Times New Roman" w:hAnsi="Times New Roman" w:cs="Times New Roman"/>
                <w:sz w:val="24"/>
                <w:szCs w:val="24"/>
                <w:lang w:eastAsia="ru-RU"/>
              </w:rPr>
              <w:t>&lt;Письмо&gt; Минтруда России от 01.06.2022 N 14-4/10/В-7208</w:t>
            </w:r>
            <w:r w:rsidRPr="002630D7">
              <w:rPr>
                <w:rFonts w:ascii="Times New Roman" w:eastAsia="Times New Roman" w:hAnsi="Times New Roman" w:cs="Times New Roman"/>
                <w:sz w:val="24"/>
                <w:szCs w:val="24"/>
                <w:lang w:eastAsia="ru-RU"/>
              </w:rPr>
              <w:br/>
              <w:t xml:space="preserve">&lt;О направлении информации с ответами на возможные вопросы по применению Постановления Правительства РФ от 30.03.2022 N 511&gt; </w:t>
            </w:r>
          </w:p>
        </w:tc>
      </w:tr>
    </w:tbl>
    <w:p w14:paraId="0EA76F3A" w14:textId="77777777"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sz w:val="24"/>
          <w:szCs w:val="24"/>
          <w:lang w:eastAsia="ru-RU"/>
        </w:rPr>
        <w:t xml:space="preserve">Указанные особенности установлены постановлением Правительства РФ от 30.03.2022 N 511. </w:t>
      </w:r>
    </w:p>
    <w:p w14:paraId="4862C6E8" w14:textId="77777777"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sz w:val="24"/>
          <w:szCs w:val="24"/>
          <w:lang w:eastAsia="ru-RU"/>
        </w:rPr>
        <w:t xml:space="preserve">В письме разъяснены порядок приема работников на временную работу к другому работодателю, а также порядок обеспечения пособиями по временной нетрудоспособности у другого работодателя при временном переводе работника. </w:t>
      </w:r>
    </w:p>
    <w:p w14:paraId="10758D06" w14:textId="77777777"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sz w:val="24"/>
          <w:szCs w:val="24"/>
          <w:lang w:eastAsia="ru-RU"/>
        </w:rPr>
        <w:t xml:space="preserve">Даны ответы, в частности, на следующие вопросы: </w:t>
      </w:r>
    </w:p>
    <w:p w14:paraId="08AFD163" w14:textId="77777777"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sz w:val="24"/>
          <w:szCs w:val="24"/>
          <w:lang w:eastAsia="ru-RU"/>
        </w:rPr>
        <w:t xml:space="preserve">- Каков способ взаимодействия между работодателями, ЦЗН и работником? </w:t>
      </w:r>
    </w:p>
    <w:p w14:paraId="5C006AE6" w14:textId="77777777"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sz w:val="24"/>
          <w:szCs w:val="24"/>
          <w:lang w:eastAsia="ru-RU"/>
        </w:rPr>
        <w:t xml:space="preserve">- Учитывается ли период приостановки трудового договора для расчета основного отпуска, дополнительного отпуска и льготного пенсионного обеспечения? </w:t>
      </w:r>
    </w:p>
    <w:p w14:paraId="1711F2A4" w14:textId="77777777"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sz w:val="24"/>
          <w:szCs w:val="24"/>
          <w:lang w:eastAsia="ru-RU"/>
        </w:rPr>
        <w:t xml:space="preserve">- Вносится ли запись о переводе к другому работодателю в трудовую книжку? </w:t>
      </w:r>
    </w:p>
    <w:p w14:paraId="26964570" w14:textId="77777777"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sz w:val="24"/>
          <w:szCs w:val="24"/>
          <w:lang w:eastAsia="ru-RU"/>
        </w:rPr>
        <w:t xml:space="preserve">- Обязан ли работник соглашаться с временным переводом? </w:t>
      </w:r>
    </w:p>
    <w:p w14:paraId="6DF29494" w14:textId="77777777"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sz w:val="24"/>
          <w:szCs w:val="24"/>
          <w:lang w:eastAsia="ru-RU"/>
        </w:rPr>
        <w:t xml:space="preserve">- Каков принцип отбора кандидатов на заключение срочного трудового договора центрами занятости? </w:t>
      </w:r>
    </w:p>
    <w:p w14:paraId="27F25095" w14:textId="77777777"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b/>
          <w:bCs/>
          <w:sz w:val="24"/>
          <w:szCs w:val="24"/>
          <w:lang w:eastAsia="ru-RU"/>
        </w:rPr>
        <w:t>КОРОНАВИРУС</w:t>
      </w:r>
      <w:r w:rsidRPr="002630D7">
        <w:rPr>
          <w:rFonts w:ascii="Times New Roman" w:eastAsia="Times New Roman" w:hAnsi="Times New Roman" w:cs="Times New Roman"/>
          <w:sz w:val="24"/>
          <w:szCs w:val="24"/>
          <w:lang w:eastAsia="ru-RU"/>
        </w:rPr>
        <w:t xml:space="preserve"> </w:t>
      </w:r>
    </w:p>
    <w:p w14:paraId="160A3F2B" w14:textId="77777777"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b/>
          <w:bCs/>
          <w:sz w:val="24"/>
          <w:szCs w:val="24"/>
          <w:lang w:eastAsia="ru-RU"/>
        </w:rPr>
        <w:lastRenderedPageBreak/>
        <w:t>Правительством утверждены правила распределения в РФ тест-систем для диагностики коронавируса</w:t>
      </w:r>
      <w:r w:rsidRPr="002630D7">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2630D7" w:rsidRPr="002630D7" w14:paraId="2CF734B1" w14:textId="77777777" w:rsidTr="002630D7">
        <w:tc>
          <w:tcPr>
            <w:tcW w:w="180" w:type="dxa"/>
            <w:tcMar>
              <w:top w:w="0" w:type="dxa"/>
              <w:left w:w="180" w:type="dxa"/>
              <w:bottom w:w="0" w:type="dxa"/>
              <w:right w:w="150" w:type="dxa"/>
            </w:tcMar>
            <w:hideMark/>
          </w:tcPr>
          <w:p w14:paraId="222622B3" w14:textId="3FB4CD98"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noProof/>
              </w:rPr>
              <w:drawing>
                <wp:inline distT="0" distB="0" distL="0" distR="0" wp14:anchorId="11954E87" wp14:editId="01F8C546">
                  <wp:extent cx="112395" cy="146685"/>
                  <wp:effectExtent l="0" t="0" r="1905" b="5715"/>
                  <wp:docPr id="4" name="Рисунок 4" descr="C:\Users\Bondar.Al.A\AppData\Local\Microsoft\Windows\INetCache\Content.MSO\8586CD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dar.Al.A\AppData\Local\Microsoft\Windows\INetCache\Content.MSO\8586CDB9.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 cy="14668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2C0DEAD8" w14:textId="77777777" w:rsidR="002630D7" w:rsidRPr="002630D7" w:rsidRDefault="002630D7" w:rsidP="002630D7">
            <w:pPr>
              <w:spacing w:after="0" w:line="240" w:lineRule="auto"/>
              <w:rPr>
                <w:rFonts w:ascii="Times New Roman" w:eastAsia="Times New Roman" w:hAnsi="Times New Roman" w:cs="Times New Roman"/>
                <w:sz w:val="24"/>
                <w:szCs w:val="24"/>
                <w:lang w:eastAsia="ru-RU"/>
              </w:rPr>
            </w:pPr>
            <w:r w:rsidRPr="002630D7">
              <w:rPr>
                <w:rFonts w:ascii="Times New Roman" w:eastAsia="Times New Roman" w:hAnsi="Times New Roman" w:cs="Times New Roman"/>
                <w:sz w:val="24"/>
                <w:szCs w:val="24"/>
                <w:lang w:eastAsia="ru-RU"/>
              </w:rPr>
              <w:t>Постановление Правительства РФ от 15.06.2022 N 1065</w:t>
            </w:r>
            <w:r w:rsidRPr="002630D7">
              <w:rPr>
                <w:rFonts w:ascii="Times New Roman" w:eastAsia="Times New Roman" w:hAnsi="Times New Roman" w:cs="Times New Roman"/>
                <w:sz w:val="24"/>
                <w:szCs w:val="24"/>
                <w:lang w:eastAsia="ru-RU"/>
              </w:rPr>
              <w:br/>
              <w:t xml:space="preserve">"Об утверждении Правил распределения в Российской Федерации тест-систем для диагностики новой </w:t>
            </w:r>
            <w:proofErr w:type="spellStart"/>
            <w:r w:rsidRPr="002630D7">
              <w:rPr>
                <w:rFonts w:ascii="Times New Roman" w:eastAsia="Times New Roman" w:hAnsi="Times New Roman" w:cs="Times New Roman"/>
                <w:sz w:val="24"/>
                <w:szCs w:val="24"/>
                <w:lang w:eastAsia="ru-RU"/>
              </w:rPr>
              <w:t>коронавирусной</w:t>
            </w:r>
            <w:proofErr w:type="spellEnd"/>
            <w:r w:rsidRPr="002630D7">
              <w:rPr>
                <w:rFonts w:ascii="Times New Roman" w:eastAsia="Times New Roman" w:hAnsi="Times New Roman" w:cs="Times New Roman"/>
                <w:sz w:val="24"/>
                <w:szCs w:val="24"/>
                <w:lang w:eastAsia="ru-RU"/>
              </w:rPr>
              <w:t xml:space="preserve"> инфекции (COVID-19)" </w:t>
            </w:r>
          </w:p>
        </w:tc>
      </w:tr>
    </w:tbl>
    <w:p w14:paraId="22AD2413" w14:textId="77777777"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sz w:val="24"/>
          <w:szCs w:val="24"/>
          <w:lang w:eastAsia="ru-RU"/>
        </w:rPr>
        <w:t xml:space="preserve">Правила устанавливают порядок распределения в РФ тест-систем для диагностики COVID-19, которые разработаны и производятся (изготавливаются) организациями, подведомственными федеральным органам исполнительной власти (за исключением организаций, подведомственных Минобороны России), а также порядок обмена информацией об объемах и о результатах диагностических исследований. </w:t>
      </w:r>
    </w:p>
    <w:p w14:paraId="674DA219" w14:textId="77777777"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sz w:val="24"/>
          <w:szCs w:val="24"/>
          <w:lang w:eastAsia="ru-RU"/>
        </w:rPr>
        <w:t xml:space="preserve">Роспотребнадзор определен документом в качестве уполномоченного федерального органа исполнительной власти по учету и распределению произведенных тест-систем, а также по учету информации о проведенных исследованиях для диагностики COVID-19 и об их результатах. </w:t>
      </w:r>
    </w:p>
    <w:p w14:paraId="285097F0" w14:textId="77777777"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sz w:val="24"/>
          <w:szCs w:val="24"/>
          <w:lang w:eastAsia="ru-RU"/>
        </w:rPr>
        <w:t xml:space="preserve">Информацию об объемах производимых (изготавливаемых) на территории РФ тест-систем на предстоящую календарную неделю, месяц и 2 месяца производители направляют в ФБУЗ "Федеральный центр гигиены и эпидемиологии" Роспотребнадзора по электронным каналам связи или иным доступным способом. </w:t>
      </w:r>
    </w:p>
    <w:p w14:paraId="36E19985" w14:textId="77777777"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sz w:val="24"/>
          <w:szCs w:val="24"/>
          <w:lang w:eastAsia="ru-RU"/>
        </w:rPr>
        <w:t xml:space="preserve">Настоящее постановление вступает в силу со дня его официального опубликования и действует до 1 мая 2023 года. </w:t>
      </w:r>
    </w:p>
    <w:p w14:paraId="6F55498A" w14:textId="77777777"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b/>
          <w:bCs/>
          <w:sz w:val="24"/>
          <w:szCs w:val="24"/>
          <w:lang w:eastAsia="ru-RU"/>
        </w:rPr>
        <w:t>Минздравом России утверждены обновленные временные методические рекомендации по порядку проведения вакцинации против COVID-19</w:t>
      </w:r>
      <w:r w:rsidRPr="002630D7">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2630D7" w:rsidRPr="002630D7" w14:paraId="67E5FFE5" w14:textId="77777777" w:rsidTr="002630D7">
        <w:tc>
          <w:tcPr>
            <w:tcW w:w="180" w:type="dxa"/>
            <w:tcMar>
              <w:top w:w="0" w:type="dxa"/>
              <w:left w:w="180" w:type="dxa"/>
              <w:bottom w:w="0" w:type="dxa"/>
              <w:right w:w="150" w:type="dxa"/>
            </w:tcMar>
            <w:hideMark/>
          </w:tcPr>
          <w:p w14:paraId="35F314D7" w14:textId="071B3690"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noProof/>
              </w:rPr>
              <w:drawing>
                <wp:inline distT="0" distB="0" distL="0" distR="0" wp14:anchorId="4C22D514" wp14:editId="76C538A6">
                  <wp:extent cx="112395" cy="146685"/>
                  <wp:effectExtent l="0" t="0" r="1905" b="5715"/>
                  <wp:docPr id="5" name="Рисунок 5" descr="C:\Users\Bondar.Al.A\AppData\Local\Microsoft\Windows\INetCache\Content.MSO\377DB1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ondar.Al.A\AppData\Local\Microsoft\Windows\INetCache\Content.MSO\377DB12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 cy="14668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4973508D" w14:textId="77777777" w:rsidR="002630D7" w:rsidRPr="002630D7" w:rsidRDefault="002630D7" w:rsidP="002630D7">
            <w:pPr>
              <w:spacing w:after="0" w:line="240" w:lineRule="auto"/>
              <w:rPr>
                <w:rFonts w:ascii="Times New Roman" w:eastAsia="Times New Roman" w:hAnsi="Times New Roman" w:cs="Times New Roman"/>
                <w:sz w:val="24"/>
                <w:szCs w:val="24"/>
                <w:lang w:eastAsia="ru-RU"/>
              </w:rPr>
            </w:pPr>
            <w:r w:rsidRPr="002630D7">
              <w:rPr>
                <w:rFonts w:ascii="Times New Roman" w:eastAsia="Times New Roman" w:hAnsi="Times New Roman" w:cs="Times New Roman"/>
                <w:sz w:val="24"/>
                <w:szCs w:val="24"/>
                <w:lang w:eastAsia="ru-RU"/>
              </w:rPr>
              <w:t xml:space="preserve">"Временные методические рекомендации "Порядок проведения вакцинации против новой </w:t>
            </w:r>
            <w:proofErr w:type="spellStart"/>
            <w:r w:rsidRPr="002630D7">
              <w:rPr>
                <w:rFonts w:ascii="Times New Roman" w:eastAsia="Times New Roman" w:hAnsi="Times New Roman" w:cs="Times New Roman"/>
                <w:sz w:val="24"/>
                <w:szCs w:val="24"/>
                <w:lang w:eastAsia="ru-RU"/>
              </w:rPr>
              <w:t>коронавирусной</w:t>
            </w:r>
            <w:proofErr w:type="spellEnd"/>
            <w:r w:rsidRPr="002630D7">
              <w:rPr>
                <w:rFonts w:ascii="Times New Roman" w:eastAsia="Times New Roman" w:hAnsi="Times New Roman" w:cs="Times New Roman"/>
                <w:sz w:val="24"/>
                <w:szCs w:val="24"/>
                <w:lang w:eastAsia="ru-RU"/>
              </w:rPr>
              <w:t xml:space="preserve"> инфекции (COVID-19)"</w:t>
            </w:r>
            <w:r w:rsidRPr="002630D7">
              <w:rPr>
                <w:rFonts w:ascii="Times New Roman" w:eastAsia="Times New Roman" w:hAnsi="Times New Roman" w:cs="Times New Roman"/>
                <w:sz w:val="24"/>
                <w:szCs w:val="24"/>
                <w:lang w:eastAsia="ru-RU"/>
              </w:rPr>
              <w:br/>
              <w:t xml:space="preserve">(утв. Минздравом России) </w:t>
            </w:r>
          </w:p>
        </w:tc>
      </w:tr>
    </w:tbl>
    <w:p w14:paraId="7D96E9C0" w14:textId="77777777"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sz w:val="24"/>
          <w:szCs w:val="24"/>
          <w:lang w:eastAsia="ru-RU"/>
        </w:rPr>
        <w:t xml:space="preserve">Документом расширен перечень вакцин, используемых для вакцинации против COVID-19. В него дополнительно включены: </w:t>
      </w:r>
    </w:p>
    <w:p w14:paraId="21926ABB" w14:textId="77777777"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sz w:val="24"/>
          <w:szCs w:val="24"/>
          <w:lang w:eastAsia="ru-RU"/>
        </w:rPr>
        <w:t>вакцина субъединичная рекомбинантная ("</w:t>
      </w:r>
      <w:proofErr w:type="spellStart"/>
      <w:r w:rsidRPr="002630D7">
        <w:rPr>
          <w:rFonts w:ascii="Times New Roman" w:eastAsia="Times New Roman" w:hAnsi="Times New Roman" w:cs="Times New Roman"/>
          <w:sz w:val="24"/>
          <w:szCs w:val="24"/>
          <w:lang w:eastAsia="ru-RU"/>
        </w:rPr>
        <w:t>Конвасэл</w:t>
      </w:r>
      <w:proofErr w:type="spellEnd"/>
      <w:r w:rsidRPr="002630D7">
        <w:rPr>
          <w:rFonts w:ascii="Times New Roman" w:eastAsia="Times New Roman" w:hAnsi="Times New Roman" w:cs="Times New Roman"/>
          <w:sz w:val="24"/>
          <w:szCs w:val="24"/>
          <w:lang w:eastAsia="ru-RU"/>
        </w:rPr>
        <w:t xml:space="preserve">"), дата регистрации 18.03.2022; </w:t>
      </w:r>
    </w:p>
    <w:p w14:paraId="091544B4" w14:textId="77777777"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sz w:val="24"/>
          <w:szCs w:val="24"/>
          <w:lang w:eastAsia="ru-RU"/>
        </w:rPr>
        <w:t>комбинированная векторная вакцина ("Гам-КОВИД-</w:t>
      </w:r>
      <w:proofErr w:type="spellStart"/>
      <w:r w:rsidRPr="002630D7">
        <w:rPr>
          <w:rFonts w:ascii="Times New Roman" w:eastAsia="Times New Roman" w:hAnsi="Times New Roman" w:cs="Times New Roman"/>
          <w:sz w:val="24"/>
          <w:szCs w:val="24"/>
          <w:lang w:eastAsia="ru-RU"/>
        </w:rPr>
        <w:t>Вак</w:t>
      </w:r>
      <w:proofErr w:type="spellEnd"/>
      <w:r w:rsidRPr="002630D7">
        <w:rPr>
          <w:rFonts w:ascii="Times New Roman" w:eastAsia="Times New Roman" w:hAnsi="Times New Roman" w:cs="Times New Roman"/>
          <w:sz w:val="24"/>
          <w:szCs w:val="24"/>
          <w:lang w:eastAsia="ru-RU"/>
        </w:rPr>
        <w:t xml:space="preserve">" (капли назальные)), дата регистрации 31.03.2022. </w:t>
      </w:r>
    </w:p>
    <w:p w14:paraId="0FF96CC9" w14:textId="77777777"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sz w:val="24"/>
          <w:szCs w:val="24"/>
          <w:lang w:eastAsia="ru-RU"/>
        </w:rPr>
        <w:t xml:space="preserve">Кроме этого, рекомендациями установлены особенности проведения вакцинации детей. Так, приоритетным должно стать назначение вакцинации детям старше 12 лет из группы высокого риска тяжелого и осложненного течения новой </w:t>
      </w:r>
      <w:proofErr w:type="spellStart"/>
      <w:r w:rsidRPr="002630D7">
        <w:rPr>
          <w:rFonts w:ascii="Times New Roman" w:eastAsia="Times New Roman" w:hAnsi="Times New Roman" w:cs="Times New Roman"/>
          <w:sz w:val="24"/>
          <w:szCs w:val="24"/>
          <w:lang w:eastAsia="ru-RU"/>
        </w:rPr>
        <w:t>коронавирусной</w:t>
      </w:r>
      <w:proofErr w:type="spellEnd"/>
      <w:r w:rsidRPr="002630D7">
        <w:rPr>
          <w:rFonts w:ascii="Times New Roman" w:eastAsia="Times New Roman" w:hAnsi="Times New Roman" w:cs="Times New Roman"/>
          <w:sz w:val="24"/>
          <w:szCs w:val="24"/>
          <w:lang w:eastAsia="ru-RU"/>
        </w:rPr>
        <w:t xml:space="preserve"> инфекции. К указанной группе отнесены, в том числе, пациенты с органическими поражениями ЦНС, пациенты с </w:t>
      </w:r>
      <w:proofErr w:type="spellStart"/>
      <w:r w:rsidRPr="002630D7">
        <w:rPr>
          <w:rFonts w:ascii="Times New Roman" w:eastAsia="Times New Roman" w:hAnsi="Times New Roman" w:cs="Times New Roman"/>
          <w:sz w:val="24"/>
          <w:szCs w:val="24"/>
          <w:lang w:eastAsia="ru-RU"/>
        </w:rPr>
        <w:t>орфанными</w:t>
      </w:r>
      <w:proofErr w:type="spellEnd"/>
      <w:r w:rsidRPr="002630D7">
        <w:rPr>
          <w:rFonts w:ascii="Times New Roman" w:eastAsia="Times New Roman" w:hAnsi="Times New Roman" w:cs="Times New Roman"/>
          <w:sz w:val="24"/>
          <w:szCs w:val="24"/>
          <w:lang w:eastAsia="ru-RU"/>
        </w:rPr>
        <w:t xml:space="preserve"> заболеваниями, с синдромом </w:t>
      </w:r>
      <w:proofErr w:type="spellStart"/>
      <w:r w:rsidRPr="002630D7">
        <w:rPr>
          <w:rFonts w:ascii="Times New Roman" w:eastAsia="Times New Roman" w:hAnsi="Times New Roman" w:cs="Times New Roman"/>
          <w:sz w:val="24"/>
          <w:szCs w:val="24"/>
          <w:lang w:eastAsia="ru-RU"/>
        </w:rPr>
        <w:t>Бадда-Киари</w:t>
      </w:r>
      <w:proofErr w:type="spellEnd"/>
      <w:r w:rsidRPr="002630D7">
        <w:rPr>
          <w:rFonts w:ascii="Times New Roman" w:eastAsia="Times New Roman" w:hAnsi="Times New Roman" w:cs="Times New Roman"/>
          <w:sz w:val="24"/>
          <w:szCs w:val="24"/>
          <w:lang w:eastAsia="ru-RU"/>
        </w:rPr>
        <w:t xml:space="preserve">, с пороками сердечно-сосудистой, бронхолегочной системы, пациенты с </w:t>
      </w:r>
      <w:proofErr w:type="spellStart"/>
      <w:r w:rsidRPr="002630D7">
        <w:rPr>
          <w:rFonts w:ascii="Times New Roman" w:eastAsia="Times New Roman" w:hAnsi="Times New Roman" w:cs="Times New Roman"/>
          <w:sz w:val="24"/>
          <w:szCs w:val="24"/>
          <w:lang w:eastAsia="ru-RU"/>
        </w:rPr>
        <w:t>аутоимммунными</w:t>
      </w:r>
      <w:proofErr w:type="spellEnd"/>
      <w:r w:rsidRPr="002630D7">
        <w:rPr>
          <w:rFonts w:ascii="Times New Roman" w:eastAsia="Times New Roman" w:hAnsi="Times New Roman" w:cs="Times New Roman"/>
          <w:sz w:val="24"/>
          <w:szCs w:val="24"/>
          <w:lang w:eastAsia="ru-RU"/>
        </w:rPr>
        <w:t xml:space="preserve"> и </w:t>
      </w:r>
      <w:proofErr w:type="spellStart"/>
      <w:r w:rsidRPr="002630D7">
        <w:rPr>
          <w:rFonts w:ascii="Times New Roman" w:eastAsia="Times New Roman" w:hAnsi="Times New Roman" w:cs="Times New Roman"/>
          <w:sz w:val="24"/>
          <w:szCs w:val="24"/>
          <w:lang w:eastAsia="ru-RU"/>
        </w:rPr>
        <w:t>аутовоспалительными</w:t>
      </w:r>
      <w:proofErr w:type="spellEnd"/>
      <w:r w:rsidRPr="002630D7">
        <w:rPr>
          <w:rFonts w:ascii="Times New Roman" w:eastAsia="Times New Roman" w:hAnsi="Times New Roman" w:cs="Times New Roman"/>
          <w:sz w:val="24"/>
          <w:szCs w:val="24"/>
          <w:lang w:eastAsia="ru-RU"/>
        </w:rPr>
        <w:t xml:space="preserve"> заболеваниями и др. </w:t>
      </w:r>
    </w:p>
    <w:p w14:paraId="6ECF01C1" w14:textId="77777777"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sz w:val="24"/>
          <w:szCs w:val="24"/>
          <w:lang w:eastAsia="ru-RU"/>
        </w:rPr>
        <w:t xml:space="preserve">Также вакцинация может быть рекомендована, в первую очередь, по социальным показаниям, длительно находящимся в общих помещениях подросткам: обучающимся в колледжах и техникумах, учебных заведениях "закрытых систем образования", в частности, интернатах, курсантам училищ, проживающим в общежитиях. </w:t>
      </w:r>
    </w:p>
    <w:p w14:paraId="45BD825E" w14:textId="77777777"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b/>
          <w:bCs/>
          <w:sz w:val="24"/>
          <w:szCs w:val="24"/>
          <w:lang w:eastAsia="ru-RU"/>
        </w:rPr>
        <w:t>Госуслуга по выплате правопреемникам умерших застрахованных лиц средств пенсионных накоплений, учтенных в специальной части индивидуальных лицевых счетов, предоставляется в установленном порядке</w:t>
      </w:r>
      <w:r w:rsidRPr="002630D7">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2630D7" w:rsidRPr="002630D7" w14:paraId="416F2A9D" w14:textId="77777777" w:rsidTr="002630D7">
        <w:tc>
          <w:tcPr>
            <w:tcW w:w="180" w:type="dxa"/>
            <w:tcMar>
              <w:top w:w="0" w:type="dxa"/>
              <w:left w:w="180" w:type="dxa"/>
              <w:bottom w:w="0" w:type="dxa"/>
              <w:right w:w="150" w:type="dxa"/>
            </w:tcMar>
            <w:hideMark/>
          </w:tcPr>
          <w:p w14:paraId="123F293E" w14:textId="2DA57882"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noProof/>
              </w:rPr>
              <w:drawing>
                <wp:inline distT="0" distB="0" distL="0" distR="0" wp14:anchorId="596D009E" wp14:editId="0EA0107E">
                  <wp:extent cx="112395" cy="146685"/>
                  <wp:effectExtent l="0" t="0" r="1905" b="5715"/>
                  <wp:docPr id="6" name="Рисунок 6" descr="C:\Users\Bondar.Al.A\AppData\Local\Microsoft\Windows\INetCache\Content.MSO\C90842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ondar.Al.A\AppData\Local\Microsoft\Windows\INetCache\Content.MSO\C908421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 cy="14668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1C1DE1E1" w14:textId="77777777" w:rsidR="002630D7" w:rsidRPr="002630D7" w:rsidRDefault="002630D7" w:rsidP="002630D7">
            <w:pPr>
              <w:spacing w:after="0" w:line="240" w:lineRule="auto"/>
              <w:rPr>
                <w:rFonts w:ascii="Times New Roman" w:eastAsia="Times New Roman" w:hAnsi="Times New Roman" w:cs="Times New Roman"/>
                <w:sz w:val="24"/>
                <w:szCs w:val="24"/>
                <w:lang w:eastAsia="ru-RU"/>
              </w:rPr>
            </w:pPr>
            <w:r w:rsidRPr="002630D7">
              <w:rPr>
                <w:rFonts w:ascii="Times New Roman" w:eastAsia="Times New Roman" w:hAnsi="Times New Roman" w:cs="Times New Roman"/>
                <w:sz w:val="24"/>
                <w:szCs w:val="24"/>
                <w:lang w:eastAsia="ru-RU"/>
              </w:rPr>
              <w:t>Постановление Правления ПФ РФ от 19.04.2022 N 59п</w:t>
            </w:r>
            <w:r w:rsidRPr="002630D7">
              <w:rPr>
                <w:rFonts w:ascii="Times New Roman" w:eastAsia="Times New Roman" w:hAnsi="Times New Roman" w:cs="Times New Roman"/>
                <w:sz w:val="24"/>
                <w:szCs w:val="24"/>
                <w:lang w:eastAsia="ru-RU"/>
              </w:rPr>
              <w:br/>
              <w:t>"Об утверждении Административного регламента предоставления Пенсионным фондом Российской Федерации государственной услуги по выплате правопреемникам умерших застрахованных лиц средств пенсионных накоплений, учтенных в специальной части индивидуальных лицевых счетов"</w:t>
            </w:r>
            <w:r w:rsidRPr="002630D7">
              <w:rPr>
                <w:rFonts w:ascii="Times New Roman" w:eastAsia="Times New Roman" w:hAnsi="Times New Roman" w:cs="Times New Roman"/>
                <w:sz w:val="24"/>
                <w:szCs w:val="24"/>
                <w:lang w:eastAsia="ru-RU"/>
              </w:rPr>
              <w:br/>
              <w:t xml:space="preserve">Зарегистрировано в Минюсте России 17.06.2022 N 68893. </w:t>
            </w:r>
          </w:p>
        </w:tc>
      </w:tr>
    </w:tbl>
    <w:p w14:paraId="60C29383" w14:textId="77777777"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sz w:val="24"/>
          <w:szCs w:val="24"/>
          <w:lang w:eastAsia="ru-RU"/>
        </w:rPr>
        <w:t xml:space="preserve">Определены сроки и последовательность административных процедур (действий), осуществляемых территориальными органами ПФР, в процессе предоставления данной </w:t>
      </w:r>
      <w:r w:rsidRPr="002630D7">
        <w:rPr>
          <w:rFonts w:ascii="Times New Roman" w:eastAsia="Times New Roman" w:hAnsi="Times New Roman" w:cs="Times New Roman"/>
          <w:sz w:val="24"/>
          <w:szCs w:val="24"/>
          <w:lang w:eastAsia="ru-RU"/>
        </w:rPr>
        <w:lastRenderedPageBreak/>
        <w:t xml:space="preserve">государственной услуги. Услуга предоставляется в соответствии с вариантом ее предоставления, который определяется согласно таблице 2 приложения 1 к Регламенту, исходя из установленных признаков заявителя, а также из результата предоставления госуслуги, за предоставлением которой обратился заявитель. </w:t>
      </w:r>
    </w:p>
    <w:p w14:paraId="23A1F790" w14:textId="77777777"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sz w:val="24"/>
          <w:szCs w:val="24"/>
          <w:lang w:eastAsia="ru-RU"/>
        </w:rPr>
        <w:t xml:space="preserve">Предусмотрен круг заявителей в рамках госуслуги. </w:t>
      </w:r>
    </w:p>
    <w:p w14:paraId="17A3032A" w14:textId="77777777"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sz w:val="24"/>
          <w:szCs w:val="24"/>
          <w:lang w:eastAsia="ru-RU"/>
        </w:rPr>
        <w:t xml:space="preserve">Максимальный срок предоставления госуслуги - 350 календарных дней. </w:t>
      </w:r>
    </w:p>
    <w:p w14:paraId="63BD3068" w14:textId="77777777"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sz w:val="24"/>
          <w:szCs w:val="24"/>
          <w:lang w:eastAsia="ru-RU"/>
        </w:rPr>
        <w:t xml:space="preserve">За предоставление услуги госпошлина или иная плата не предусмотрена. </w:t>
      </w:r>
    </w:p>
    <w:p w14:paraId="38C2696E" w14:textId="77777777"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b/>
          <w:bCs/>
          <w:sz w:val="24"/>
          <w:szCs w:val="24"/>
          <w:lang w:eastAsia="ru-RU"/>
        </w:rPr>
        <w:t>Президент РФ поручил рассмотреть вопрос о возможности досрочного назначения страховой пенсии по старости многодетным отцам</w:t>
      </w:r>
      <w:r w:rsidRPr="002630D7">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2630D7" w:rsidRPr="002630D7" w14:paraId="04F7F28B" w14:textId="77777777" w:rsidTr="002630D7">
        <w:tc>
          <w:tcPr>
            <w:tcW w:w="180" w:type="dxa"/>
            <w:tcMar>
              <w:top w:w="0" w:type="dxa"/>
              <w:left w:w="180" w:type="dxa"/>
              <w:bottom w:w="0" w:type="dxa"/>
              <w:right w:w="150" w:type="dxa"/>
            </w:tcMar>
            <w:hideMark/>
          </w:tcPr>
          <w:p w14:paraId="155385F8" w14:textId="1621E07F"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noProof/>
              </w:rPr>
              <w:drawing>
                <wp:inline distT="0" distB="0" distL="0" distR="0" wp14:anchorId="44B3975B" wp14:editId="74E1D128">
                  <wp:extent cx="112395" cy="146685"/>
                  <wp:effectExtent l="0" t="0" r="1905" b="5715"/>
                  <wp:docPr id="7" name="Рисунок 7" descr="C:\Users\Bondar.Al.A\AppData\Local\Microsoft\Windows\INetCache\Content.MSO\5E491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ondar.Al.A\AppData\Local\Microsoft\Windows\INetCache\Content.MSO\5E491EB.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 cy="14668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404728E0" w14:textId="77777777" w:rsidR="002630D7" w:rsidRPr="002630D7" w:rsidRDefault="002630D7" w:rsidP="002630D7">
            <w:pPr>
              <w:spacing w:after="0" w:line="240" w:lineRule="auto"/>
              <w:rPr>
                <w:rFonts w:ascii="Times New Roman" w:eastAsia="Times New Roman" w:hAnsi="Times New Roman" w:cs="Times New Roman"/>
                <w:sz w:val="24"/>
                <w:szCs w:val="24"/>
                <w:lang w:eastAsia="ru-RU"/>
              </w:rPr>
            </w:pPr>
            <w:r w:rsidRPr="002630D7">
              <w:rPr>
                <w:rFonts w:ascii="Times New Roman" w:eastAsia="Times New Roman" w:hAnsi="Times New Roman" w:cs="Times New Roman"/>
                <w:sz w:val="24"/>
                <w:szCs w:val="24"/>
                <w:lang w:eastAsia="ru-RU"/>
              </w:rPr>
              <w:t>"Перечень поручений по итогам встреч по вопросам социальной поддержки детей"</w:t>
            </w:r>
            <w:r w:rsidRPr="002630D7">
              <w:rPr>
                <w:rFonts w:ascii="Times New Roman" w:eastAsia="Times New Roman" w:hAnsi="Times New Roman" w:cs="Times New Roman"/>
                <w:sz w:val="24"/>
                <w:szCs w:val="24"/>
                <w:lang w:eastAsia="ru-RU"/>
              </w:rPr>
              <w:br/>
              <w:t xml:space="preserve">(утв. Президентом РФ 18.06.2022 N Пр-1069) </w:t>
            </w:r>
          </w:p>
        </w:tc>
      </w:tr>
    </w:tbl>
    <w:p w14:paraId="372077D1" w14:textId="77777777"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sz w:val="24"/>
          <w:szCs w:val="24"/>
          <w:lang w:eastAsia="ru-RU"/>
        </w:rPr>
        <w:t xml:space="preserve">Кроме того, Правительству РФ необходимо, в числе прочего: </w:t>
      </w:r>
    </w:p>
    <w:p w14:paraId="73A1650A" w14:textId="77777777"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sz w:val="24"/>
          <w:szCs w:val="24"/>
          <w:lang w:eastAsia="ru-RU"/>
        </w:rPr>
        <w:t xml:space="preserve">принять решения, касающиеся обеспечения детей с тяжелыми </w:t>
      </w:r>
      <w:proofErr w:type="spellStart"/>
      <w:r w:rsidRPr="002630D7">
        <w:rPr>
          <w:rFonts w:ascii="Times New Roman" w:eastAsia="Times New Roman" w:hAnsi="Times New Roman" w:cs="Times New Roman"/>
          <w:sz w:val="24"/>
          <w:szCs w:val="24"/>
          <w:lang w:eastAsia="ru-RU"/>
        </w:rPr>
        <w:t>жизнеугрожающими</w:t>
      </w:r>
      <w:proofErr w:type="spellEnd"/>
      <w:r w:rsidRPr="002630D7">
        <w:rPr>
          <w:rFonts w:ascii="Times New Roman" w:eastAsia="Times New Roman" w:hAnsi="Times New Roman" w:cs="Times New Roman"/>
          <w:sz w:val="24"/>
          <w:szCs w:val="24"/>
          <w:lang w:eastAsia="ru-RU"/>
        </w:rPr>
        <w:t xml:space="preserve"> и хроническими заболеваниями, в том числе редкими (</w:t>
      </w:r>
      <w:proofErr w:type="spellStart"/>
      <w:r w:rsidRPr="002630D7">
        <w:rPr>
          <w:rFonts w:ascii="Times New Roman" w:eastAsia="Times New Roman" w:hAnsi="Times New Roman" w:cs="Times New Roman"/>
          <w:sz w:val="24"/>
          <w:szCs w:val="24"/>
          <w:lang w:eastAsia="ru-RU"/>
        </w:rPr>
        <w:t>орфанными</w:t>
      </w:r>
      <w:proofErr w:type="spellEnd"/>
      <w:r w:rsidRPr="002630D7">
        <w:rPr>
          <w:rFonts w:ascii="Times New Roman" w:eastAsia="Times New Roman" w:hAnsi="Times New Roman" w:cs="Times New Roman"/>
          <w:sz w:val="24"/>
          <w:szCs w:val="24"/>
          <w:lang w:eastAsia="ru-RU"/>
        </w:rPr>
        <w:t xml:space="preserve">) заболеваниями после достижения возраста 18 лет необходимыми лекарственными препаратами, медицинскими изделиями, техническими средствами реабилитации и оказания им медицинской помощи, первоначально на срок до 12 месяцев от момента достижения пациентом возраста 18 лет; </w:t>
      </w:r>
    </w:p>
    <w:p w14:paraId="11AE21DA" w14:textId="77777777"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sz w:val="24"/>
          <w:szCs w:val="24"/>
          <w:lang w:eastAsia="ru-RU"/>
        </w:rPr>
        <w:t xml:space="preserve">рассмотреть вопросы упрощения процедуры ввоза в РФ лекарственных препаратов и медицинских изделий, закупаемых Фондом "Круг добра" для нужд его деятельности; </w:t>
      </w:r>
    </w:p>
    <w:p w14:paraId="60556D5A" w14:textId="77777777"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sz w:val="24"/>
          <w:szCs w:val="24"/>
          <w:lang w:eastAsia="ru-RU"/>
        </w:rPr>
        <w:t xml:space="preserve">уточнить методику планирования доходов федерального бюджета, поступающих за счет налоговой ставки по налогу на доходы физических лиц в размере 15 процентов в отношении превышающих 5 млн. рублей в год части дохода физического лица; </w:t>
      </w:r>
    </w:p>
    <w:p w14:paraId="485108A3" w14:textId="77777777" w:rsidR="002630D7" w:rsidRPr="002630D7" w:rsidRDefault="002630D7" w:rsidP="002630D7">
      <w:pPr>
        <w:spacing w:after="0" w:line="240" w:lineRule="auto"/>
        <w:jc w:val="both"/>
        <w:rPr>
          <w:rFonts w:ascii="Times New Roman" w:eastAsia="Times New Roman" w:hAnsi="Times New Roman" w:cs="Times New Roman"/>
          <w:sz w:val="24"/>
          <w:szCs w:val="24"/>
          <w:lang w:eastAsia="ru-RU"/>
        </w:rPr>
      </w:pPr>
      <w:r w:rsidRPr="002630D7">
        <w:rPr>
          <w:rFonts w:ascii="Times New Roman" w:eastAsia="Times New Roman" w:hAnsi="Times New Roman" w:cs="Times New Roman"/>
          <w:sz w:val="24"/>
          <w:szCs w:val="24"/>
          <w:lang w:eastAsia="ru-RU"/>
        </w:rPr>
        <w:t xml:space="preserve">обеспечить принятие решений, распространяющих право семей, имеющих детей, на получение ипотечного жилищного кредита (займа) по льготным ставкам при условии рождения в семье ребенка до 31 декабря 2023 г. </w:t>
      </w:r>
    </w:p>
    <w:p w14:paraId="3C731C37"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b/>
          <w:bCs/>
          <w:sz w:val="24"/>
          <w:szCs w:val="24"/>
          <w:lang w:eastAsia="ru-RU"/>
        </w:rPr>
        <w:t>Росреестр информирует об актуализации нормативной правовой базы в отношении государственного кадастрового учета недвижимого имущества</w:t>
      </w:r>
      <w:r w:rsidRPr="005E5794">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5E5794" w:rsidRPr="005E5794" w14:paraId="619E5B77" w14:textId="77777777" w:rsidTr="005E5794">
        <w:tc>
          <w:tcPr>
            <w:tcW w:w="180" w:type="dxa"/>
            <w:tcMar>
              <w:top w:w="0" w:type="dxa"/>
              <w:left w:w="180" w:type="dxa"/>
              <w:bottom w:w="0" w:type="dxa"/>
              <w:right w:w="150" w:type="dxa"/>
            </w:tcMar>
            <w:hideMark/>
          </w:tcPr>
          <w:p w14:paraId="270E32E3" w14:textId="5CDE9DD2"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noProof/>
              </w:rPr>
              <w:drawing>
                <wp:inline distT="0" distB="0" distL="0" distR="0" wp14:anchorId="225F48A8" wp14:editId="532F6911">
                  <wp:extent cx="112395" cy="146685"/>
                  <wp:effectExtent l="0" t="0" r="1905" b="5715"/>
                  <wp:docPr id="8" name="Рисунок 8" descr="C:\Users\Bondar.Al.A\AppData\Local\Microsoft\Windows\INetCache\Content.MSO\10D62E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ondar.Al.A\AppData\Local\Microsoft\Windows\INetCache\Content.MSO\10D62E31.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 cy="14668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66C2FE30" w14:textId="77777777" w:rsidR="005E5794" w:rsidRPr="005E5794" w:rsidRDefault="005E5794" w:rsidP="005E5794">
            <w:pPr>
              <w:spacing w:after="0" w:line="240" w:lineRule="auto"/>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&lt;Письмо&gt; Росреестра от 17.06.2022 N 13-5016-АБ/22</w:t>
            </w:r>
            <w:r w:rsidRPr="005E5794">
              <w:rPr>
                <w:rFonts w:ascii="Times New Roman" w:eastAsia="Times New Roman" w:hAnsi="Times New Roman" w:cs="Times New Roman"/>
                <w:sz w:val="24"/>
                <w:szCs w:val="24"/>
                <w:lang w:eastAsia="ru-RU"/>
              </w:rPr>
              <w:br/>
              <w:t xml:space="preserve">"О приказах Росреестра" </w:t>
            </w:r>
          </w:p>
        </w:tc>
      </w:tr>
    </w:tbl>
    <w:p w14:paraId="1327D0E1"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 xml:space="preserve">Сообщается, что с 19.06.2022 утрачивают силу приказы Минэкономразвития России от 08.12.2015 N 921 "Об утверждении формы и состава сведений межевого плана, требований к его подготовке" и от 18.12.2015 N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 </w:t>
      </w:r>
    </w:p>
    <w:p w14:paraId="798509BF"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 xml:space="preserve">Одновременно вступают в силу приказы Росреестра: </w:t>
      </w:r>
    </w:p>
    <w:p w14:paraId="7FD3E58F"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 xml:space="preserve">от 14.12.2021 N П/0592 "Об утверждении формы и состава сведений межевого плана, требований к его подготовке"; </w:t>
      </w:r>
    </w:p>
    <w:p w14:paraId="7F1AA4D8"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 xml:space="preserve">от 04.03.2022 N П/0072 "Об утверждении формы декларации об объекте недвижимости, требований к ее подготовке, состава содержащихся в ней сведений"; </w:t>
      </w:r>
    </w:p>
    <w:p w14:paraId="3C32E316"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 xml:space="preserve">от 15.03.2022 N П/0082 "Об установлении формы технического плана, требований к его подготовке и состава содержащихся в нем сведений" (далее - приказ N П/0082), за исключением пункта 21.14 приложения 2 к приказу N П/082, вступающего в силу с 01.09.2022. </w:t>
      </w:r>
    </w:p>
    <w:p w14:paraId="073E9D22"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 xml:space="preserve">При этом предусматривается, что для осуществления государственного кадастрового учета недвижимого имущества и (или) государственной регистрации прав на недвижимое имущество и сделок с ним до 19.03.2023 могут быть представлены межевые и технические планы, подготовленные в соответствии с формой и требованиями к их подготовке, действовавшими до 19.06.2022, если они были подготовлены и подписаны усиленной квалифицированной электронной подписью кадастрового инженера до 19.06.2022. </w:t>
      </w:r>
    </w:p>
    <w:p w14:paraId="2A8DBEE9"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b/>
          <w:bCs/>
          <w:sz w:val="24"/>
          <w:szCs w:val="24"/>
          <w:lang w:eastAsia="ru-RU"/>
        </w:rPr>
        <w:t>Покупка кооперативного жилья с помощью средств материнского капитала стала проще</w:t>
      </w:r>
      <w:r w:rsidRPr="005E5794">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5E5794" w:rsidRPr="005E5794" w14:paraId="06E209CF" w14:textId="77777777" w:rsidTr="005E5794">
        <w:tc>
          <w:tcPr>
            <w:tcW w:w="180" w:type="dxa"/>
            <w:tcMar>
              <w:top w:w="0" w:type="dxa"/>
              <w:left w:w="180" w:type="dxa"/>
              <w:bottom w:w="0" w:type="dxa"/>
              <w:right w:w="150" w:type="dxa"/>
            </w:tcMar>
            <w:hideMark/>
          </w:tcPr>
          <w:p w14:paraId="1AE1BD13" w14:textId="31CCA6F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noProof/>
              </w:rPr>
              <w:lastRenderedPageBreak/>
              <w:drawing>
                <wp:inline distT="0" distB="0" distL="0" distR="0" wp14:anchorId="2975E2E2" wp14:editId="7B882A53">
                  <wp:extent cx="112395" cy="146685"/>
                  <wp:effectExtent l="0" t="0" r="1905" b="5715"/>
                  <wp:docPr id="9" name="Рисунок 9" descr="C:\Users\Bondar.Al.A\AppData\Local\Microsoft\Windows\INetCache\Content.MSO\97CF80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ondar.Al.A\AppData\Local\Microsoft\Windows\INetCache\Content.MSO\97CF8067.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 cy="14668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611F3FDE" w14:textId="77777777" w:rsidR="005E5794" w:rsidRPr="005E5794" w:rsidRDefault="005E5794" w:rsidP="005E5794">
            <w:pPr>
              <w:spacing w:after="0" w:line="240" w:lineRule="auto"/>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Постановление Правительства РФ от 22.06.2022 N 1117</w:t>
            </w:r>
            <w:r w:rsidRPr="005E5794">
              <w:rPr>
                <w:rFonts w:ascii="Times New Roman" w:eastAsia="Times New Roman" w:hAnsi="Times New Roman" w:cs="Times New Roman"/>
                <w:sz w:val="24"/>
                <w:szCs w:val="24"/>
                <w:lang w:eastAsia="ru-RU"/>
              </w:rPr>
              <w:br/>
              <w:t xml:space="preserve">"О внесении изменений в пункт 11 Правил направления средств (части средств) материнского (семейного) капитала на улучшение жилищных условий" </w:t>
            </w:r>
          </w:p>
        </w:tc>
      </w:tr>
    </w:tbl>
    <w:p w14:paraId="289EFBBB"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 xml:space="preserve">Правительством РФ сокращен перечень документов, необходимый для направления средств материнского капитала на покупку квартиры через жилищно-строительные или жилищно-накопительные кооперативы. </w:t>
      </w:r>
    </w:p>
    <w:p w14:paraId="762BEAE1"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 xml:space="preserve">Так, лицам, которые планируют купить кооперативную квартиру с помощью средств материнского капитала, не понадобится предоставлять в ПФР справку о правах кооператива на земельный участок, на котором осуществляется (будет осуществляться) строительство жилого помещения. </w:t>
      </w:r>
    </w:p>
    <w:p w14:paraId="0DDEB18D"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 xml:space="preserve">Изменения коснутся случаев, в которых региональная некоммерческая организация по строительству жилья выступает гарантом выплаты взноса членом кооператива. </w:t>
      </w:r>
    </w:p>
    <w:p w14:paraId="2FF8DCB1"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b/>
          <w:bCs/>
          <w:sz w:val="24"/>
          <w:szCs w:val="24"/>
          <w:lang w:eastAsia="ru-RU"/>
        </w:rPr>
        <w:t>Расширен Перечень документов, подтверждающих наличие уважительных причин неявки в государственные учреждения службы занятости населения граждан, зарегистрированных в целях поиска подходящей работы, и безработных граждан</w:t>
      </w:r>
      <w:r w:rsidRPr="005E5794">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5E5794" w:rsidRPr="005E5794" w14:paraId="1DAEB4E9" w14:textId="77777777" w:rsidTr="005E5794">
        <w:tc>
          <w:tcPr>
            <w:tcW w:w="180" w:type="dxa"/>
            <w:tcMar>
              <w:top w:w="0" w:type="dxa"/>
              <w:left w:w="180" w:type="dxa"/>
              <w:bottom w:w="0" w:type="dxa"/>
              <w:right w:w="150" w:type="dxa"/>
            </w:tcMar>
            <w:hideMark/>
          </w:tcPr>
          <w:p w14:paraId="79373A87" w14:textId="1F31E2F6"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noProof/>
              </w:rPr>
              <w:drawing>
                <wp:inline distT="0" distB="0" distL="0" distR="0" wp14:anchorId="254A5703" wp14:editId="782ADB74">
                  <wp:extent cx="112395" cy="146685"/>
                  <wp:effectExtent l="0" t="0" r="1905" b="5715"/>
                  <wp:docPr id="10" name="Рисунок 10" descr="C:\Users\Bondar.Al.A\AppData\Local\Microsoft\Windows\INetCache\Content.MSO\21C22E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Bondar.Al.A\AppData\Local\Microsoft\Windows\INetCache\Content.MSO\21C22E0D.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 cy="14668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56CD5124" w14:textId="77777777" w:rsidR="005E5794" w:rsidRPr="005E5794" w:rsidRDefault="005E5794" w:rsidP="005E5794">
            <w:pPr>
              <w:spacing w:after="0" w:line="240" w:lineRule="auto"/>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Приказ Минтруда России от 26.04.2022 N 257н</w:t>
            </w:r>
            <w:r w:rsidRPr="005E5794">
              <w:rPr>
                <w:rFonts w:ascii="Times New Roman" w:eastAsia="Times New Roman" w:hAnsi="Times New Roman" w:cs="Times New Roman"/>
                <w:sz w:val="24"/>
                <w:szCs w:val="24"/>
                <w:lang w:eastAsia="ru-RU"/>
              </w:rPr>
              <w:br/>
              <w:t>"Об утверждении Перечня документов, подтверждающих наличие уважительных причин неявки в государственные учреждения службы занятости населения граждан, зарегистрированных в целях поиска подходящей работы, и безработных граждан"</w:t>
            </w:r>
            <w:r w:rsidRPr="005E5794">
              <w:rPr>
                <w:rFonts w:ascii="Times New Roman" w:eastAsia="Times New Roman" w:hAnsi="Times New Roman" w:cs="Times New Roman"/>
                <w:sz w:val="24"/>
                <w:szCs w:val="24"/>
                <w:lang w:eastAsia="ru-RU"/>
              </w:rPr>
              <w:br/>
              <w:t xml:space="preserve">Зарегистрировано в Минюсте России 22.06.2022 N 68954. </w:t>
            </w:r>
          </w:p>
        </w:tc>
      </w:tr>
    </w:tbl>
    <w:p w14:paraId="525F1886"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 xml:space="preserve">В новый перечень включены, в том числе документы, подтверждающие период прохождения медицинского освидетельствования при выборе гражданином профессии (специальности), требующей обязательного медицинского освидетельствования. </w:t>
      </w:r>
    </w:p>
    <w:p w14:paraId="253CAA44"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 xml:space="preserve">Листок нетрудоспособности заменен справкой, выданной в установленном порядке медицинской организацией, и содержащей сведения о периоде временной нетрудоспособности. </w:t>
      </w:r>
    </w:p>
    <w:p w14:paraId="235CC786"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 xml:space="preserve">Признан утратившим силу аналогичный Приказ Минтруда России от 15.01.2013 N 10н. </w:t>
      </w:r>
    </w:p>
    <w:p w14:paraId="61E03694"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b/>
          <w:bCs/>
          <w:sz w:val="24"/>
          <w:szCs w:val="24"/>
          <w:lang w:eastAsia="ru-RU"/>
        </w:rPr>
        <w:t>Разъяснен порядок организации деятельности федеральных учреждений медико-социальной экспертизы в соответствии с новыми Правилами признания лица инвалидом</w:t>
      </w:r>
      <w:r w:rsidRPr="005E5794">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5E5794" w:rsidRPr="005E5794" w14:paraId="775CDD79" w14:textId="77777777" w:rsidTr="005E5794">
        <w:tc>
          <w:tcPr>
            <w:tcW w:w="180" w:type="dxa"/>
            <w:tcMar>
              <w:top w:w="0" w:type="dxa"/>
              <w:left w:w="180" w:type="dxa"/>
              <w:bottom w:w="0" w:type="dxa"/>
              <w:right w:w="150" w:type="dxa"/>
            </w:tcMar>
            <w:hideMark/>
          </w:tcPr>
          <w:p w14:paraId="719AA933" w14:textId="5F4B5494"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noProof/>
              </w:rPr>
              <w:drawing>
                <wp:inline distT="0" distB="0" distL="0" distR="0" wp14:anchorId="58CAC55F" wp14:editId="0B052439">
                  <wp:extent cx="112395" cy="146685"/>
                  <wp:effectExtent l="0" t="0" r="1905" b="5715"/>
                  <wp:docPr id="12" name="Рисунок 12" descr="C:\Users\Bondar.Al.A\AppData\Local\Microsoft\Windows\INetCache\Content.MSO\4FAE78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Bondar.Al.A\AppData\Local\Microsoft\Windows\INetCache\Content.MSO\4FAE78A3.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 cy="14668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5559F6C6" w14:textId="77777777" w:rsidR="005E5794" w:rsidRPr="005E5794" w:rsidRDefault="005E5794" w:rsidP="005E5794">
            <w:pPr>
              <w:spacing w:after="0" w:line="240" w:lineRule="auto"/>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&lt;Письмо&gt; Минтруда России от 16.06.2022 N 13-4/В-854</w:t>
            </w:r>
            <w:r w:rsidRPr="005E5794">
              <w:rPr>
                <w:rFonts w:ascii="Times New Roman" w:eastAsia="Times New Roman" w:hAnsi="Times New Roman" w:cs="Times New Roman"/>
                <w:sz w:val="24"/>
                <w:szCs w:val="24"/>
                <w:lang w:eastAsia="ru-RU"/>
              </w:rPr>
              <w:br/>
              <w:t xml:space="preserve">&lt;Об организации деятельности федеральных учреждений медико-социальной экспертизы в соответствии с Правилами признания лица инвалидом, утв. Постановлением Правительства РФ от 05.04.2022 N 588&gt; </w:t>
            </w:r>
          </w:p>
        </w:tc>
      </w:tr>
    </w:tbl>
    <w:p w14:paraId="40A9591A"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 xml:space="preserve">Данные Правила утверждены Постановлением Правительства РФ от 05.04.2022 N 588. </w:t>
      </w:r>
    </w:p>
    <w:p w14:paraId="3BCC14E2"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 xml:space="preserve">Сообщается об издании приказов Минтруда России "Об утверждении формы заявления о проведении медико-социальной экспертизы", "Об утверждении формы программы дополнительного обследования гражданина и порядка ее заполнения", которые в настоящее время проходят государственную регистрацию в Минюсте России. </w:t>
      </w:r>
    </w:p>
    <w:p w14:paraId="1F4A0529"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 xml:space="preserve">Учитывая, что начало действия указанных Правил 1 июля </w:t>
      </w:r>
      <w:proofErr w:type="spellStart"/>
      <w:r w:rsidRPr="005E5794">
        <w:rPr>
          <w:rFonts w:ascii="Times New Roman" w:eastAsia="Times New Roman" w:hAnsi="Times New Roman" w:cs="Times New Roman"/>
          <w:sz w:val="24"/>
          <w:szCs w:val="24"/>
          <w:lang w:eastAsia="ru-RU"/>
        </w:rPr>
        <w:t>т.г</w:t>
      </w:r>
      <w:proofErr w:type="spellEnd"/>
      <w:r w:rsidRPr="005E5794">
        <w:rPr>
          <w:rFonts w:ascii="Times New Roman" w:eastAsia="Times New Roman" w:hAnsi="Times New Roman" w:cs="Times New Roman"/>
          <w:sz w:val="24"/>
          <w:szCs w:val="24"/>
          <w:lang w:eastAsia="ru-RU"/>
        </w:rPr>
        <w:t xml:space="preserve">., необходимо обеспечить деятельность учреждений МСЭ по приему от инвалидов заявлений о проведении МСЭ и разработке программы дополнительного обследования при освидетельствовании гражданина в определенных Правилами случаях по формам, установленным вышеуказанными приказами. </w:t>
      </w:r>
    </w:p>
    <w:p w14:paraId="75B4AE50"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 xml:space="preserve">  </w:t>
      </w:r>
    </w:p>
    <w:p w14:paraId="2F902AA6"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b/>
          <w:bCs/>
          <w:sz w:val="24"/>
          <w:szCs w:val="24"/>
          <w:lang w:eastAsia="ru-RU"/>
        </w:rPr>
        <w:t>Разъяснен порядок признания лица инвалидом, применяемый со 2 июля 2022 года</w:t>
      </w:r>
      <w:r w:rsidRPr="005E5794">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5E5794" w:rsidRPr="005E5794" w14:paraId="61CF549C" w14:textId="77777777" w:rsidTr="005E5794">
        <w:tc>
          <w:tcPr>
            <w:tcW w:w="180" w:type="dxa"/>
            <w:tcMar>
              <w:top w:w="0" w:type="dxa"/>
              <w:left w:w="180" w:type="dxa"/>
              <w:bottom w:w="0" w:type="dxa"/>
              <w:right w:w="150" w:type="dxa"/>
            </w:tcMar>
            <w:hideMark/>
          </w:tcPr>
          <w:p w14:paraId="48C0F83F" w14:textId="541CBD20"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noProof/>
              </w:rPr>
              <w:drawing>
                <wp:inline distT="0" distB="0" distL="0" distR="0" wp14:anchorId="7602BB81" wp14:editId="33335A52">
                  <wp:extent cx="112395" cy="146685"/>
                  <wp:effectExtent l="0" t="0" r="1905" b="5715"/>
                  <wp:docPr id="11" name="Рисунок 11" descr="C:\Users\Bondar.Al.A\AppData\Local\Microsoft\Windows\INetCache\Content.MSO\56499D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Bondar.Al.A\AppData\Local\Microsoft\Windows\INetCache\Content.MSO\56499DA9.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 cy="14668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2E006FD7" w14:textId="77777777" w:rsidR="005E5794" w:rsidRPr="005E5794" w:rsidRDefault="005E5794" w:rsidP="005E5794">
            <w:pPr>
              <w:spacing w:after="0" w:line="240" w:lineRule="auto"/>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&lt;Письмо&gt; Минтруда России от 20.06.2022 N 13-4/В-882</w:t>
            </w:r>
            <w:r w:rsidRPr="005E5794">
              <w:rPr>
                <w:rFonts w:ascii="Times New Roman" w:eastAsia="Times New Roman" w:hAnsi="Times New Roman" w:cs="Times New Roman"/>
                <w:sz w:val="24"/>
                <w:szCs w:val="24"/>
                <w:lang w:eastAsia="ru-RU"/>
              </w:rPr>
              <w:br/>
              <w:t xml:space="preserve">&lt;О процедуре освидетельствования граждан для установления или продления инвалидности в связи с прекращением действия Временного порядка признания лица инвалидом, утв. Постановлением Правительства РФ от 16.10.2020 N 1697&gt; </w:t>
            </w:r>
          </w:p>
        </w:tc>
      </w:tr>
    </w:tbl>
    <w:p w14:paraId="69EDC5C7"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 xml:space="preserve">С указанной даты прекращает действовать Временный порядок признания лица инвалидом, утвержденный постановлением Правительства РФ от 16 октября 2020 г. N 1697. </w:t>
      </w:r>
    </w:p>
    <w:p w14:paraId="61C94CB7"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lastRenderedPageBreak/>
        <w:t xml:space="preserve">В связи с этим со 2 июля 2022 года рассмотрение вопроса об определении группы инвалидности (категории "ребенок-инвалид") осуществляется только на основании направления на медико-социальную экспертизу, выданного медицинской организацией, в соответствии с Правилами признания лица инвалидом, утвержденными постановлением Правительства РФ от 5 апреля 2022 г. N 588, и с применением Классификаций и критериев, используемых при осуществлении медико-социальной экспертизы граждан федеральными государственными учреждениями медико-социальной экспертизы, утвержденных приказом Минтруда России от 27 августа 2019 г. N 585н. </w:t>
      </w:r>
    </w:p>
    <w:p w14:paraId="0290F821"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 xml:space="preserve">Отмечается, что срок (период), в течение которого гражданину в соответствии с Временным порядком продлевалась группа инвалидности (категория "ребенок-инвалид") на 6 месяцев без направления на медико-социальную экспертизу, выданного медицинской организацией, не учитывается при установлении группы инвалидности без указания срока переосвидетельствования (категории "ребенок-инвалид" до достижения гражданином возраста 18 лет). </w:t>
      </w:r>
    </w:p>
    <w:p w14:paraId="6FF27330"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b/>
          <w:bCs/>
          <w:sz w:val="24"/>
          <w:szCs w:val="24"/>
          <w:lang w:eastAsia="ru-RU"/>
        </w:rPr>
        <w:t>ФНС разъяснила, какие документы могут подтверждать гибель застрахованного транспортного средства для целей прекращения исчисления транспортного налога</w:t>
      </w:r>
      <w:r w:rsidRPr="005E5794">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5E5794" w:rsidRPr="005E5794" w14:paraId="32E53A01" w14:textId="77777777" w:rsidTr="005E5794">
        <w:tc>
          <w:tcPr>
            <w:tcW w:w="180" w:type="dxa"/>
            <w:tcMar>
              <w:top w:w="0" w:type="dxa"/>
              <w:left w:w="180" w:type="dxa"/>
              <w:bottom w:w="0" w:type="dxa"/>
              <w:right w:w="150" w:type="dxa"/>
            </w:tcMar>
            <w:hideMark/>
          </w:tcPr>
          <w:p w14:paraId="4339E96F" w14:textId="3F8DD6FE"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noProof/>
              </w:rPr>
              <w:drawing>
                <wp:inline distT="0" distB="0" distL="0" distR="0" wp14:anchorId="01D1FD63" wp14:editId="3A49E2C8">
                  <wp:extent cx="112395" cy="146685"/>
                  <wp:effectExtent l="0" t="0" r="1905" b="5715"/>
                  <wp:docPr id="13" name="Рисунок 13" descr="C:\Users\Bondar.Al.A\AppData\Local\Microsoft\Windows\INetCache\Content.MSO\175336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Bondar.Al.A\AppData\Local\Microsoft\Windows\INetCache\Content.MSO\1753369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 cy="14668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1FBD0E95" w14:textId="77777777" w:rsidR="005E5794" w:rsidRPr="005E5794" w:rsidRDefault="005E5794" w:rsidP="005E5794">
            <w:pPr>
              <w:spacing w:after="0" w:line="240" w:lineRule="auto"/>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Письмо ФНС России от 20.06.2022 N БС-4-21/7541@</w:t>
            </w:r>
            <w:r w:rsidRPr="005E5794">
              <w:rPr>
                <w:rFonts w:ascii="Times New Roman" w:eastAsia="Times New Roman" w:hAnsi="Times New Roman" w:cs="Times New Roman"/>
                <w:sz w:val="24"/>
                <w:szCs w:val="24"/>
                <w:lang w:eastAsia="ru-RU"/>
              </w:rPr>
              <w:br/>
              <w:t xml:space="preserve">"О прекращении исчисления транспортного налога в случае гибели застрахованного транспортного средства" </w:t>
            </w:r>
          </w:p>
        </w:tc>
      </w:tr>
    </w:tbl>
    <w:p w14:paraId="1EEF03F8"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 xml:space="preserve">В соответствии с законодательством страхователь (выгодоприобретатель) вправе отказаться от своих прав на застрахованное транспортное средство в пользу страховщика в целях получения от него страховой выплаты в размере полной страховой суммы. </w:t>
      </w:r>
    </w:p>
    <w:p w14:paraId="5277FF22"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 xml:space="preserve">В таком случае в качестве основания для прекращения исчисления транспортного налога могут представляться: </w:t>
      </w:r>
    </w:p>
    <w:p w14:paraId="6083A479"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 xml:space="preserve">- договор страхования; </w:t>
      </w:r>
    </w:p>
    <w:p w14:paraId="3549B017"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 xml:space="preserve">- соглашение об отказе от права собственности на транспортное средство в пользу страховщика и выплате страхового возмещения; </w:t>
      </w:r>
    </w:p>
    <w:p w14:paraId="66F53F0A"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 xml:space="preserve">- экспертное заключение, в котором содержится вывод о гибели транспортного средства; </w:t>
      </w:r>
    </w:p>
    <w:p w14:paraId="698056EB"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 xml:space="preserve">- акт приема-передачи оставшихся частей ТС. </w:t>
      </w:r>
    </w:p>
    <w:p w14:paraId="7B9371F9"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 xml:space="preserve">  </w:t>
      </w:r>
    </w:p>
    <w:p w14:paraId="3D1DEC4A"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b/>
          <w:bCs/>
          <w:sz w:val="24"/>
          <w:szCs w:val="24"/>
          <w:lang w:eastAsia="ru-RU"/>
        </w:rPr>
        <w:t>Уточнены условия субсидирования льготных кредитов в рамках госпрограммы "Комплексное развитие сельских территорий"</w:t>
      </w:r>
      <w:r w:rsidRPr="005E5794">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5E5794" w:rsidRPr="005E5794" w14:paraId="2F2759EC" w14:textId="77777777" w:rsidTr="005E5794">
        <w:tc>
          <w:tcPr>
            <w:tcW w:w="180" w:type="dxa"/>
            <w:tcMar>
              <w:top w:w="0" w:type="dxa"/>
              <w:left w:w="180" w:type="dxa"/>
              <w:bottom w:w="0" w:type="dxa"/>
              <w:right w:w="150" w:type="dxa"/>
            </w:tcMar>
            <w:hideMark/>
          </w:tcPr>
          <w:p w14:paraId="3FFEA3F5" w14:textId="7B16240E"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noProof/>
              </w:rPr>
              <w:drawing>
                <wp:inline distT="0" distB="0" distL="0" distR="0" wp14:anchorId="3E076797" wp14:editId="18AE8AF9">
                  <wp:extent cx="112395" cy="146685"/>
                  <wp:effectExtent l="0" t="0" r="1905" b="5715"/>
                  <wp:docPr id="14" name="Рисунок 14" descr="C:\Users\Bondar.Al.A\AppData\Local\Microsoft\Windows\INetCache\Content.MSO\897199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Bondar.Al.A\AppData\Local\Microsoft\Windows\INetCache\Content.MSO\8971990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 cy="14668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26E4B603" w14:textId="77777777" w:rsidR="005E5794" w:rsidRPr="005E5794" w:rsidRDefault="005E5794" w:rsidP="005E5794">
            <w:pPr>
              <w:spacing w:after="0" w:line="240" w:lineRule="auto"/>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Постановление Правительства РФ от 22.06.2022 N 1119</w:t>
            </w:r>
            <w:r w:rsidRPr="005E5794">
              <w:rPr>
                <w:rFonts w:ascii="Times New Roman" w:eastAsia="Times New Roman" w:hAnsi="Times New Roman" w:cs="Times New Roman"/>
                <w:sz w:val="24"/>
                <w:szCs w:val="24"/>
                <w:lang w:eastAsia="ru-RU"/>
              </w:rPr>
              <w:br/>
              <w:t xml:space="preserve">"О внесении изменений в некоторые акты Правительства Российской Федерации по вопросу реализации государственной программы Российской Федерации "Комплексное развитие сельских территорий" </w:t>
            </w:r>
          </w:p>
        </w:tc>
      </w:tr>
    </w:tbl>
    <w:p w14:paraId="13B17B7E"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 xml:space="preserve">Согласно Постановлению, в частности, ключевым стратегическим приоритетом развития сельских территорий станет ускоренное развитие инфраструктуры опорных населенных пунктов, обеспечивающее реализацию гарантий в сфере образования, доступность медицинской помощи, услуг в сфере культуры и реализацию иных потребностей населения. </w:t>
      </w:r>
    </w:p>
    <w:p w14:paraId="1ADB5290"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 xml:space="preserve">Скорректированы требования к оценке Минсельхозом эффективности использования предоставленных субъектам РФ субсидий на указанные цели. </w:t>
      </w:r>
    </w:p>
    <w:p w14:paraId="6AFB2438"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 xml:space="preserve">Для граждан, проживающих на сельских территориях (сельских агломерациях), в целях повышения уровня благоустройства домовладений увеличены предельные размеры льготных потребительских кредитов (займов), предоставляемых в соответствии с постановлением Правительства РФ от 26.11.2019 N 1514: </w:t>
      </w:r>
    </w:p>
    <w:p w14:paraId="3FA9643E"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 xml:space="preserve">с 250 до 500 тыс. рублей - по кредитам, предоставляемым заемщикам, проживающим во всех субъектах РФ, за исключением Ленинградской области и субъектов РФ, входящих в состав ДФО; </w:t>
      </w:r>
    </w:p>
    <w:p w14:paraId="60776794"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 xml:space="preserve">с 300 до 700 тыс. рублей - по кредитам, предоставляемым в Ленинградской области и субъектах РФ, входящих в состав ДФО. </w:t>
      </w:r>
    </w:p>
    <w:p w14:paraId="260345AE"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b/>
          <w:bCs/>
          <w:sz w:val="24"/>
          <w:szCs w:val="24"/>
          <w:lang w:eastAsia="ru-RU"/>
        </w:rPr>
        <w:lastRenderedPageBreak/>
        <w:t>В Госдуму поступил законопроект об уточнении порядка медицинского освидетельствования водителей транспортных средств</w:t>
      </w:r>
      <w:r w:rsidRPr="005E5794">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5E5794" w:rsidRPr="005E5794" w14:paraId="3305847D" w14:textId="77777777" w:rsidTr="005E5794">
        <w:tc>
          <w:tcPr>
            <w:tcW w:w="180" w:type="dxa"/>
            <w:tcMar>
              <w:top w:w="0" w:type="dxa"/>
              <w:left w:w="180" w:type="dxa"/>
              <w:bottom w:w="0" w:type="dxa"/>
              <w:right w:w="150" w:type="dxa"/>
            </w:tcMar>
            <w:hideMark/>
          </w:tcPr>
          <w:p w14:paraId="6694FC66" w14:textId="6504C93C"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noProof/>
              </w:rPr>
              <w:drawing>
                <wp:inline distT="0" distB="0" distL="0" distR="0" wp14:anchorId="2925B0FB" wp14:editId="44A7661A">
                  <wp:extent cx="112395" cy="146685"/>
                  <wp:effectExtent l="0" t="0" r="1905" b="5715"/>
                  <wp:docPr id="15" name="Рисунок 15" descr="C:\Users\Bondar.Al.A\AppData\Local\Microsoft\Windows\INetCache\Content.MSO\7B2D36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Bondar.Al.A\AppData\Local\Microsoft\Windows\INetCache\Content.MSO\7B2D365B.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 cy="14668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7CA3CD3C" w14:textId="77777777" w:rsidR="005E5794" w:rsidRPr="005E5794" w:rsidRDefault="005E5794" w:rsidP="005E5794">
            <w:pPr>
              <w:spacing w:after="0" w:line="240" w:lineRule="auto"/>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 xml:space="preserve">Проект Федерального закона N 149503-8 "О внесении изменений в статьи 23 и 28 Федерального закона "О безопасности дорожного движения" и статью 10 Федерального закона "О персональных данных" </w:t>
            </w:r>
          </w:p>
        </w:tc>
      </w:tr>
    </w:tbl>
    <w:p w14:paraId="75B87577"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 xml:space="preserve">Поправки подготовлены в связи с необходимостью исключения возможности управления транспортными средствами водителями, у которых при проведении медицинских осмотров, освидетельствований либо оказании медицинской помощи установлены признаки заболеваний (состояний), являющихся медицинскими противопоказаниями либо ранее не выявлявшимися медицинскими показаниями или ограничениями к управлению транспортными средствами, а также организации межведомственного электронного взаимодействия с использованием единой системы межведомственного электронного взаимодействия по обмену сведениями о выявлении у водителя заболеваний (состояний), являющихся противопоказаниями либо ранее не выявлявшихся показаний или ограничений к управлению транспортными средствами, об оформленных, аннулированных медицинских заключениях о наличии (об отсутствии) у водителей (кандидатов в водители) медицинских противопоказаний, показаний или ограничений к управлению транспортными средствами и о выданных водительских удостоверениях. </w:t>
      </w:r>
    </w:p>
    <w:p w14:paraId="407F5010" w14:textId="77777777" w:rsidR="005E5794" w:rsidRPr="005E5794" w:rsidRDefault="005E5794" w:rsidP="005E5794">
      <w:pPr>
        <w:spacing w:after="0" w:line="240" w:lineRule="auto"/>
        <w:jc w:val="both"/>
        <w:rPr>
          <w:rFonts w:ascii="Times New Roman" w:eastAsia="Times New Roman" w:hAnsi="Times New Roman" w:cs="Times New Roman"/>
          <w:sz w:val="24"/>
          <w:szCs w:val="24"/>
          <w:lang w:eastAsia="ru-RU"/>
        </w:rPr>
      </w:pPr>
      <w:r w:rsidRPr="005E5794">
        <w:rPr>
          <w:rFonts w:ascii="Times New Roman" w:eastAsia="Times New Roman" w:hAnsi="Times New Roman" w:cs="Times New Roman"/>
          <w:sz w:val="24"/>
          <w:szCs w:val="24"/>
          <w:lang w:eastAsia="ru-RU"/>
        </w:rPr>
        <w:t xml:space="preserve">Уточняется процедура прекращения, приостановления действия права на управление транспортными средствами. </w:t>
      </w:r>
    </w:p>
    <w:p w14:paraId="1B3656AA"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b/>
          <w:bCs/>
          <w:sz w:val="24"/>
          <w:szCs w:val="24"/>
          <w:lang w:eastAsia="ru-RU"/>
        </w:rPr>
        <w:t>Уточнены сведения, которые указываются в заявлении о получении охотничьего билета</w:t>
      </w:r>
      <w:r w:rsidRPr="00B7478A">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B7478A" w:rsidRPr="00B7478A" w14:paraId="2D03BBDC" w14:textId="77777777" w:rsidTr="00B7478A">
        <w:tc>
          <w:tcPr>
            <w:tcW w:w="180" w:type="dxa"/>
            <w:tcMar>
              <w:top w:w="0" w:type="dxa"/>
              <w:left w:w="180" w:type="dxa"/>
              <w:bottom w:w="0" w:type="dxa"/>
              <w:right w:w="150" w:type="dxa"/>
            </w:tcMar>
            <w:hideMark/>
          </w:tcPr>
          <w:p w14:paraId="0EA76AA3" w14:textId="775F98B4"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noProof/>
              </w:rPr>
              <w:drawing>
                <wp:inline distT="0" distB="0" distL="0" distR="0" wp14:anchorId="7F69DC53" wp14:editId="12FFB8C2">
                  <wp:extent cx="112395" cy="146685"/>
                  <wp:effectExtent l="0" t="0" r="1905" b="5715"/>
                  <wp:docPr id="16" name="Рисунок 16" descr="C:\Users\Bondar.Al.A\AppData\Local\Microsoft\Windows\INetCache\Content.MSO\A162FC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Bondar.Al.A\AppData\Local\Microsoft\Windows\INetCache\Content.MSO\A162FC21.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 cy="14668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47B2AF81" w14:textId="77777777" w:rsidR="00B7478A" w:rsidRPr="00B7478A" w:rsidRDefault="00B7478A" w:rsidP="00B7478A">
            <w:pPr>
              <w:spacing w:after="0" w:line="240" w:lineRule="auto"/>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Приказ Минприроды России от 10.03.2022 N 174</w:t>
            </w:r>
            <w:r w:rsidRPr="00B7478A">
              <w:rPr>
                <w:rFonts w:ascii="Times New Roman" w:eastAsia="Times New Roman" w:hAnsi="Times New Roman" w:cs="Times New Roman"/>
                <w:sz w:val="24"/>
                <w:szCs w:val="24"/>
                <w:lang w:eastAsia="ru-RU"/>
              </w:rPr>
              <w:br/>
              <w:t>"О внесении изменений в Порядок выдачи и аннулирования охотничьего билета единого федерального образца, утвержденный приказом Министерства природных ресурсов и экологии Российской Федерации от 20 января 2011 г. N 13"</w:t>
            </w:r>
            <w:r w:rsidRPr="00B7478A">
              <w:rPr>
                <w:rFonts w:ascii="Times New Roman" w:eastAsia="Times New Roman" w:hAnsi="Times New Roman" w:cs="Times New Roman"/>
                <w:sz w:val="24"/>
                <w:szCs w:val="24"/>
                <w:lang w:eastAsia="ru-RU"/>
              </w:rPr>
              <w:br/>
              <w:t xml:space="preserve">Зарегистрировано в Минюсте России 22.06.2022 N 68962. </w:t>
            </w:r>
          </w:p>
        </w:tc>
      </w:tr>
    </w:tbl>
    <w:p w14:paraId="034AB227"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Так, заявитель вправе дополнительно указать: свою национальность; сведения об осуществлении охоты в качестве основы своего существования. </w:t>
      </w:r>
    </w:p>
    <w:p w14:paraId="63A143BA"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Кроме того, скорректированы требования к фотографиям, которые представляются одновременно с заявлением. </w:t>
      </w:r>
    </w:p>
    <w:p w14:paraId="3CB0344E"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Заявитель вправе представить иные документы и их копии, подтверждающие его право на осуществление охоты в целях обеспечения ведения традиционного образа жизни и осуществления традиционной хозяйственной деятельности. </w:t>
      </w:r>
    </w:p>
    <w:p w14:paraId="4ED356DF"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  </w:t>
      </w:r>
    </w:p>
    <w:p w14:paraId="168B561B"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proofErr w:type="spellStart"/>
      <w:r w:rsidRPr="00B7478A">
        <w:rPr>
          <w:rFonts w:ascii="Times New Roman" w:eastAsia="Times New Roman" w:hAnsi="Times New Roman" w:cs="Times New Roman"/>
          <w:b/>
          <w:bCs/>
          <w:sz w:val="24"/>
          <w:szCs w:val="24"/>
          <w:lang w:eastAsia="ru-RU"/>
        </w:rPr>
        <w:t>Минцифры</w:t>
      </w:r>
      <w:proofErr w:type="spellEnd"/>
      <w:r w:rsidRPr="00B7478A">
        <w:rPr>
          <w:rFonts w:ascii="Times New Roman" w:eastAsia="Times New Roman" w:hAnsi="Times New Roman" w:cs="Times New Roman"/>
          <w:b/>
          <w:bCs/>
          <w:sz w:val="24"/>
          <w:szCs w:val="24"/>
          <w:lang w:eastAsia="ru-RU"/>
        </w:rPr>
        <w:t xml:space="preserve"> России сообщает об имеющихся особенностях при государственной регистрации рождения посредством Единого портала госуслуг на основании электронного медицинского документа о рождении</w:t>
      </w:r>
      <w:r w:rsidRPr="00B7478A">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B7478A" w:rsidRPr="00B7478A" w14:paraId="25CECF12" w14:textId="77777777" w:rsidTr="00B7478A">
        <w:tc>
          <w:tcPr>
            <w:tcW w:w="180" w:type="dxa"/>
            <w:tcMar>
              <w:top w:w="0" w:type="dxa"/>
              <w:left w:w="180" w:type="dxa"/>
              <w:bottom w:w="0" w:type="dxa"/>
              <w:right w:w="150" w:type="dxa"/>
            </w:tcMar>
            <w:hideMark/>
          </w:tcPr>
          <w:p w14:paraId="7A7307B2" w14:textId="2FCFB26E"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noProof/>
              </w:rPr>
              <w:drawing>
                <wp:inline distT="0" distB="0" distL="0" distR="0" wp14:anchorId="61D72AA1" wp14:editId="1BF20C54">
                  <wp:extent cx="112395" cy="146685"/>
                  <wp:effectExtent l="0" t="0" r="1905" b="5715"/>
                  <wp:docPr id="17" name="Рисунок 17" descr="C:\Users\Bondar.Al.A\AppData\Local\Microsoft\Windows\INetCache\Content.MSO\3B45B3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Bondar.Al.A\AppData\Local\Microsoft\Windows\INetCache\Content.MSO\3B45B3D7.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 cy="14668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29FB3937" w14:textId="77777777" w:rsidR="00B7478A" w:rsidRPr="00B7478A" w:rsidRDefault="00B7478A" w:rsidP="00B7478A">
            <w:pPr>
              <w:spacing w:after="0" w:line="240" w:lineRule="auto"/>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&lt;Письмо&gt; </w:t>
            </w:r>
            <w:proofErr w:type="spellStart"/>
            <w:r w:rsidRPr="00B7478A">
              <w:rPr>
                <w:rFonts w:ascii="Times New Roman" w:eastAsia="Times New Roman" w:hAnsi="Times New Roman" w:cs="Times New Roman"/>
                <w:sz w:val="24"/>
                <w:szCs w:val="24"/>
                <w:lang w:eastAsia="ru-RU"/>
              </w:rPr>
              <w:t>Минцифры</w:t>
            </w:r>
            <w:proofErr w:type="spellEnd"/>
            <w:r w:rsidRPr="00B7478A">
              <w:rPr>
                <w:rFonts w:ascii="Times New Roman" w:eastAsia="Times New Roman" w:hAnsi="Times New Roman" w:cs="Times New Roman"/>
                <w:sz w:val="24"/>
                <w:szCs w:val="24"/>
                <w:lang w:eastAsia="ru-RU"/>
              </w:rPr>
              <w:t xml:space="preserve"> России от 23.05.2022 N ДО-П23-070-26749</w:t>
            </w:r>
            <w:r w:rsidRPr="00B7478A">
              <w:rPr>
                <w:rFonts w:ascii="Times New Roman" w:eastAsia="Times New Roman" w:hAnsi="Times New Roman" w:cs="Times New Roman"/>
                <w:sz w:val="24"/>
                <w:szCs w:val="24"/>
                <w:lang w:eastAsia="ru-RU"/>
              </w:rPr>
              <w:br/>
              <w:t xml:space="preserve">&lt;О некоторых ограничениях для предоставления услуги по государственной регистрации рождения на основании электронного медицинского документа о рождении посредством ЕПГУ&gt; </w:t>
            </w:r>
          </w:p>
        </w:tc>
      </w:tr>
    </w:tbl>
    <w:p w14:paraId="09EAA216"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Разъяснено, что основной причиной отказов в государственной регистрации рождения ребенка является несоответствие номеров электронных медицинских документов о рождении, поступающих из подсистемы "Реестр электронных медицинских документов" Единой государственной информационной системы в сфере здравоохранения формату, указанному в пункте 11 Порядка выдачи документа о рождении "Медицинское свидетельство о рождении", утвержденного приказом Минздрава России от 13 октября 2021 г. N 987н. </w:t>
      </w:r>
    </w:p>
    <w:p w14:paraId="0958D07B"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В письме также приведены случаи, в которых электронные медицинские документы о рождении не оформляются. Указанные документы не оформляются, в частности, отцу </w:t>
      </w:r>
      <w:r w:rsidRPr="00B7478A">
        <w:rPr>
          <w:rFonts w:ascii="Times New Roman" w:eastAsia="Times New Roman" w:hAnsi="Times New Roman" w:cs="Times New Roman"/>
          <w:sz w:val="24"/>
          <w:szCs w:val="24"/>
          <w:lang w:eastAsia="ru-RU"/>
        </w:rPr>
        <w:lastRenderedPageBreak/>
        <w:t xml:space="preserve">ребенка или иному лицу, матери ребенка, которая не выразила согласие на оформление электронного медицинского документа о рождении, и т.д. </w:t>
      </w:r>
    </w:p>
    <w:p w14:paraId="2F42B1C9"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  </w:t>
      </w:r>
    </w:p>
    <w:p w14:paraId="75E5EAB1"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proofErr w:type="spellStart"/>
      <w:r w:rsidRPr="00B7478A">
        <w:rPr>
          <w:rFonts w:ascii="Times New Roman" w:eastAsia="Times New Roman" w:hAnsi="Times New Roman" w:cs="Times New Roman"/>
          <w:b/>
          <w:bCs/>
          <w:sz w:val="24"/>
          <w:szCs w:val="24"/>
          <w:lang w:eastAsia="ru-RU"/>
        </w:rPr>
        <w:t>Минпросвещения</w:t>
      </w:r>
      <w:proofErr w:type="spellEnd"/>
      <w:r w:rsidRPr="00B7478A">
        <w:rPr>
          <w:rFonts w:ascii="Times New Roman" w:eastAsia="Times New Roman" w:hAnsi="Times New Roman" w:cs="Times New Roman"/>
          <w:b/>
          <w:bCs/>
          <w:sz w:val="24"/>
          <w:szCs w:val="24"/>
          <w:lang w:eastAsia="ru-RU"/>
        </w:rPr>
        <w:t xml:space="preserve"> России разъяснены особенности выдачи аттестатов о среднем общем образовании с отличием</w:t>
      </w:r>
      <w:r w:rsidRPr="00B7478A">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B7478A" w:rsidRPr="00B7478A" w14:paraId="2B28CAB2" w14:textId="77777777" w:rsidTr="00B7478A">
        <w:tc>
          <w:tcPr>
            <w:tcW w:w="180" w:type="dxa"/>
            <w:tcMar>
              <w:top w:w="0" w:type="dxa"/>
              <w:left w:w="180" w:type="dxa"/>
              <w:bottom w:w="0" w:type="dxa"/>
              <w:right w:w="150" w:type="dxa"/>
            </w:tcMar>
            <w:hideMark/>
          </w:tcPr>
          <w:p w14:paraId="10698489" w14:textId="16360A11"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noProof/>
              </w:rPr>
              <w:drawing>
                <wp:inline distT="0" distB="0" distL="0" distR="0" wp14:anchorId="57F1E4DE" wp14:editId="6A533C1D">
                  <wp:extent cx="112395" cy="146685"/>
                  <wp:effectExtent l="0" t="0" r="1905" b="5715"/>
                  <wp:docPr id="18" name="Рисунок 18" descr="C:\Users\Bondar.Al.A\AppData\Local\Microsoft\Windows\INetCache\Content.MSO\D5C662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Bondar.Al.A\AppData\Local\Microsoft\Windows\INetCache\Content.MSO\D5C662FD.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 cy="14668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3B0E358A" w14:textId="77777777" w:rsidR="00B7478A" w:rsidRPr="00B7478A" w:rsidRDefault="00B7478A" w:rsidP="00B7478A">
            <w:pPr>
              <w:spacing w:after="0" w:line="240" w:lineRule="auto"/>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&lt;Письмо&gt; </w:t>
            </w:r>
            <w:proofErr w:type="spellStart"/>
            <w:r w:rsidRPr="00B7478A">
              <w:rPr>
                <w:rFonts w:ascii="Times New Roman" w:eastAsia="Times New Roman" w:hAnsi="Times New Roman" w:cs="Times New Roman"/>
                <w:sz w:val="24"/>
                <w:szCs w:val="24"/>
                <w:lang w:eastAsia="ru-RU"/>
              </w:rPr>
              <w:t>Минпросвещения</w:t>
            </w:r>
            <w:proofErr w:type="spellEnd"/>
            <w:r w:rsidRPr="00B7478A">
              <w:rPr>
                <w:rFonts w:ascii="Times New Roman" w:eastAsia="Times New Roman" w:hAnsi="Times New Roman" w:cs="Times New Roman"/>
                <w:sz w:val="24"/>
                <w:szCs w:val="24"/>
                <w:lang w:eastAsia="ru-RU"/>
              </w:rPr>
              <w:t xml:space="preserve"> России от 21.06.2022 N 03-878</w:t>
            </w:r>
            <w:r w:rsidRPr="00B7478A">
              <w:rPr>
                <w:rFonts w:ascii="Times New Roman" w:eastAsia="Times New Roman" w:hAnsi="Times New Roman" w:cs="Times New Roman"/>
                <w:sz w:val="24"/>
                <w:szCs w:val="24"/>
                <w:lang w:eastAsia="ru-RU"/>
              </w:rPr>
              <w:br/>
              <w:t xml:space="preserve">"О выдаче аттестата о среднем общем образовании с отличием" </w:t>
            </w:r>
          </w:p>
        </w:tc>
      </w:tr>
    </w:tbl>
    <w:p w14:paraId="56F4E727"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Отмечено, что для участников ГИА, чьи результаты были аннулированы председателем государственной экзаменационной комиссии в связи с нарушением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w:t>
      </w:r>
      <w:proofErr w:type="spellStart"/>
      <w:r w:rsidRPr="00B7478A">
        <w:rPr>
          <w:rFonts w:ascii="Times New Roman" w:eastAsia="Times New Roman" w:hAnsi="Times New Roman" w:cs="Times New Roman"/>
          <w:sz w:val="24"/>
          <w:szCs w:val="24"/>
          <w:lang w:eastAsia="ru-RU"/>
        </w:rPr>
        <w:t>Минпросвещения</w:t>
      </w:r>
      <w:proofErr w:type="spellEnd"/>
      <w:r w:rsidRPr="00B7478A">
        <w:rPr>
          <w:rFonts w:ascii="Times New Roman" w:eastAsia="Times New Roman" w:hAnsi="Times New Roman" w:cs="Times New Roman"/>
          <w:sz w:val="24"/>
          <w:szCs w:val="24"/>
          <w:lang w:eastAsia="ru-RU"/>
        </w:rPr>
        <w:t xml:space="preserve"> России и Рособрнадзора от 7 ноября 2018 г. N 190/1512, а также для участников ГИА, которые получили неудовлетворительные результаты по сдаваемым учебным предметам по выбору, выдача аттестата с отличием не предусмотрена. </w:t>
      </w:r>
    </w:p>
    <w:p w14:paraId="0C54B0DE"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В письме также определено количество баллов по учебным предметам, которое необходимо набрать ученикам при прохождении ГИА в различных формах, необходимое для выдачи аттестата с отличием. </w:t>
      </w:r>
    </w:p>
    <w:p w14:paraId="49FA54E9"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b/>
          <w:bCs/>
          <w:sz w:val="24"/>
          <w:szCs w:val="24"/>
          <w:lang w:eastAsia="ru-RU"/>
        </w:rPr>
        <w:t>КС РФ назвал недопустимым отказ IT-специалисту в защите прав на созданную его творческим трудом программу для ЭВМ</w:t>
      </w:r>
      <w:r w:rsidRPr="00B7478A">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B7478A" w:rsidRPr="00B7478A" w14:paraId="24D2893C" w14:textId="77777777" w:rsidTr="00B7478A">
        <w:tc>
          <w:tcPr>
            <w:tcW w:w="180" w:type="dxa"/>
            <w:tcMar>
              <w:top w:w="0" w:type="dxa"/>
              <w:left w:w="180" w:type="dxa"/>
              <w:bottom w:w="0" w:type="dxa"/>
              <w:right w:w="150" w:type="dxa"/>
            </w:tcMar>
            <w:hideMark/>
          </w:tcPr>
          <w:p w14:paraId="239843B1" w14:textId="63B07973"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noProof/>
              </w:rPr>
              <w:drawing>
                <wp:inline distT="0" distB="0" distL="0" distR="0" wp14:anchorId="788CBB4C" wp14:editId="19E43ACD">
                  <wp:extent cx="112395" cy="146685"/>
                  <wp:effectExtent l="0" t="0" r="1905" b="5715"/>
                  <wp:docPr id="19" name="Рисунок 19" descr="C:\Users\Bondar.Al.A\AppData\Local\Microsoft\Windows\INetCache\Content.MSO\CDFBAB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Bondar.Al.A\AppData\Local\Microsoft\Windows\INetCache\Content.MSO\CDFBAB13.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 cy="14668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236996FF" w14:textId="77777777" w:rsidR="00B7478A" w:rsidRPr="00B7478A" w:rsidRDefault="00B7478A" w:rsidP="00B7478A">
            <w:pPr>
              <w:spacing w:after="0" w:line="240" w:lineRule="auto"/>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Постановление Конституционного Суда РФ от 16.06.2022 N 25-П</w:t>
            </w:r>
            <w:r w:rsidRPr="00B7478A">
              <w:rPr>
                <w:rFonts w:ascii="Times New Roman" w:eastAsia="Times New Roman" w:hAnsi="Times New Roman" w:cs="Times New Roman"/>
                <w:sz w:val="24"/>
                <w:szCs w:val="24"/>
                <w:lang w:eastAsia="ru-RU"/>
              </w:rPr>
              <w:br/>
              <w:t xml:space="preserve">"По делу о проверке конституционности пункта 3 статьи 1260 Гражданского кодекса Российской Федерации в связи с жалобой гражданина А.Е. </w:t>
            </w:r>
            <w:proofErr w:type="spellStart"/>
            <w:r w:rsidRPr="00B7478A">
              <w:rPr>
                <w:rFonts w:ascii="Times New Roman" w:eastAsia="Times New Roman" w:hAnsi="Times New Roman" w:cs="Times New Roman"/>
                <w:sz w:val="24"/>
                <w:szCs w:val="24"/>
                <w:lang w:eastAsia="ru-RU"/>
              </w:rPr>
              <w:t>Мамичева</w:t>
            </w:r>
            <w:proofErr w:type="spellEnd"/>
            <w:r w:rsidRPr="00B7478A">
              <w:rPr>
                <w:rFonts w:ascii="Times New Roman" w:eastAsia="Times New Roman" w:hAnsi="Times New Roman" w:cs="Times New Roman"/>
                <w:sz w:val="24"/>
                <w:szCs w:val="24"/>
                <w:lang w:eastAsia="ru-RU"/>
              </w:rPr>
              <w:t xml:space="preserve">" </w:t>
            </w:r>
          </w:p>
        </w:tc>
      </w:tr>
    </w:tbl>
    <w:p w14:paraId="3BE7790C"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Не соответствующим Конституции РФ и ее статьям признан пункт 3 статьи 1260 ГК РФ, поскольку он допускает отказ суда в защите авторских прав создателя программы для ЭВМ в споре с лицом, использующим указанную программу для ЭВМ в отсутствие его согласия, только на том основании, что названная программа является составным произведением и ее автором не выполнено условие о соблюдении прав авторов (правообладателей) объектов (программ для ЭВМ), использованных для ее создания. </w:t>
      </w:r>
    </w:p>
    <w:p w14:paraId="3A1B8851"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Законодателю надлежит внести изменения в действующее правовое регулирование, чтобы обеспечить баланс прав автора программы для ЭВМ, которая является составным произведением, и прав авторов (правообладателей) объектов (программ для ЭВМ), использованных для ее создания, не исключая при этом защиту имущественных интересов автора этой программы для ЭВМ, в том числе путем взыскания компенсации за нарушение другими лицами его исключительного права. </w:t>
      </w:r>
    </w:p>
    <w:p w14:paraId="4D4965CA"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До внесения соответствующих изменений оспариваемая норма не должна применяться в качестве основания для отказа в защите права авторства, права автора на имя создателя программы для ЭВМ как составного произведения и исключительного права в части предъявления требования о пресечении нарушающих право автора действий в случаях, когда ответчик тоже не вправе использовать такие объекты (программы для ЭВМ), а также для отказа в защите в полном объеме авторских прав (включая исключительные права) на ту часть программы для ЭВМ как составного произведения, которая создана самим автором такой программы и использована в ней как в составном произведении наряду с объектами (программами для ЭВМ), права на которые принадлежат иным авторам (правообладателям). </w:t>
      </w:r>
    </w:p>
    <w:p w14:paraId="57D02194"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b/>
          <w:bCs/>
          <w:sz w:val="24"/>
          <w:szCs w:val="24"/>
          <w:lang w:eastAsia="ru-RU"/>
        </w:rPr>
        <w:t>Верховный Суд РФ обобщил практику применения судами законодательства об охране окружающей среды при рассмотрении дел в порядке гражданского, арбитражного, административного судопроизводства</w:t>
      </w:r>
      <w:r w:rsidRPr="00B7478A">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B7478A" w:rsidRPr="00B7478A" w14:paraId="55F0DF63" w14:textId="77777777" w:rsidTr="00B7478A">
        <w:tc>
          <w:tcPr>
            <w:tcW w:w="180" w:type="dxa"/>
            <w:tcMar>
              <w:top w:w="0" w:type="dxa"/>
              <w:left w:w="180" w:type="dxa"/>
              <w:bottom w:w="0" w:type="dxa"/>
              <w:right w:w="150" w:type="dxa"/>
            </w:tcMar>
            <w:hideMark/>
          </w:tcPr>
          <w:p w14:paraId="66A5061A" w14:textId="22E16B49"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noProof/>
              </w:rPr>
              <w:drawing>
                <wp:inline distT="0" distB="0" distL="0" distR="0" wp14:anchorId="4811394D" wp14:editId="4E2CAC79">
                  <wp:extent cx="112395" cy="146685"/>
                  <wp:effectExtent l="0" t="0" r="1905" b="5715"/>
                  <wp:docPr id="20" name="Рисунок 20" descr="C:\Users\Bondar.Al.A\AppData\Local\Microsoft\Windows\INetCache\Content.MSO\8DE029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Bondar.Al.A\AppData\Local\Microsoft\Windows\INetCache\Content.MSO\8DE02999.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 cy="14668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63E7FD64" w14:textId="77777777" w:rsidR="00B7478A" w:rsidRPr="00B7478A" w:rsidRDefault="00B7478A" w:rsidP="00B7478A">
            <w:pPr>
              <w:spacing w:after="0" w:line="240" w:lineRule="auto"/>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"Обзор судебной практики по вопросам применения законодательства об охране окружающей среды"</w:t>
            </w:r>
            <w:r w:rsidRPr="00B7478A">
              <w:rPr>
                <w:rFonts w:ascii="Times New Roman" w:eastAsia="Times New Roman" w:hAnsi="Times New Roman" w:cs="Times New Roman"/>
                <w:sz w:val="24"/>
                <w:szCs w:val="24"/>
                <w:lang w:eastAsia="ru-RU"/>
              </w:rPr>
              <w:br/>
              <w:t xml:space="preserve">(утв. Президиумом Верховного Суда РФ 24.06.2022) </w:t>
            </w:r>
          </w:p>
        </w:tc>
      </w:tr>
    </w:tbl>
    <w:p w14:paraId="14B6AEB0"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В обзоре определены, в частности, следующие правовые позиции: </w:t>
      </w:r>
    </w:p>
    <w:p w14:paraId="3F58419F"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lastRenderedPageBreak/>
        <w:t xml:space="preserve">в случае причинения вреда нескольким компонентам природной среды исчисление размера вреда, подлежащего возмещению, производится на основании соответствующих такс и методик для каждого компонента; </w:t>
      </w:r>
    </w:p>
    <w:p w14:paraId="37DA46A1"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требование о возмещении вреда путем возложения на ответчика обязанности по восстановлению нарушенного состояния компонентов окружающей среды подлежит удовлетворению при наличии разработанного с соблюдением требований действующего законодательства и утвержденного проекта восстановительных работ; </w:t>
      </w:r>
    </w:p>
    <w:p w14:paraId="4BD46E79"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возмещение вреда окружающей среде осуществляется посредством взыскания причиненных убытков и (или) путем возложения на ответчика обязанности по восстановлению нарушенного состояния окружающей среды. Возложение на ответчика обязанности разработать проект рекультивации земельного участка не ведет к восстановлению нарушенного состояния окружающей среды; </w:t>
      </w:r>
    </w:p>
    <w:p w14:paraId="2F9EE596"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в случае если лицо, причинившее вред окружающей среде, впоследствии, действуя добросовестно, осуществляет меры, направленные на восстановление состояния окружающей среды, в соответствии с утвержденным проектом рекультивации, в удовлетворении иска о возмещении вреда в денежной форме может быть отказано; </w:t>
      </w:r>
    </w:p>
    <w:p w14:paraId="7DDA65DC"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зачет понесенных причинителем вреда затрат на рекультивацию лесного участка, лесовосстановление (лесоразведение) в счет возмещения вреда в денежной форме возможен только в случае завершения полного комплекса работ и при условии, что такие работы выполнены до дня вынесения решения судом. </w:t>
      </w:r>
    </w:p>
    <w:p w14:paraId="3E8295DE"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  </w:t>
      </w:r>
    </w:p>
    <w:p w14:paraId="6A058248"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b/>
          <w:bCs/>
          <w:sz w:val="24"/>
          <w:szCs w:val="24"/>
          <w:lang w:eastAsia="ru-RU"/>
        </w:rPr>
        <w:t>ЖИЛИЩЕ. ЖКХ</w:t>
      </w:r>
      <w:r w:rsidRPr="00B7478A">
        <w:rPr>
          <w:rFonts w:ascii="Times New Roman" w:eastAsia="Times New Roman" w:hAnsi="Times New Roman" w:cs="Times New Roman"/>
          <w:sz w:val="24"/>
          <w:szCs w:val="24"/>
          <w:lang w:eastAsia="ru-RU"/>
        </w:rPr>
        <w:t xml:space="preserve"> </w:t>
      </w:r>
    </w:p>
    <w:p w14:paraId="7063E496"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b/>
          <w:bCs/>
          <w:sz w:val="24"/>
          <w:szCs w:val="24"/>
          <w:lang w:eastAsia="ru-RU"/>
        </w:rPr>
        <w:t>Принятие решения о выборе управляющей организации закреплено в перечне компетенций общего собрания собственников помещений в многоквартирном доме</w:t>
      </w:r>
      <w:r w:rsidRPr="00B7478A">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B7478A" w:rsidRPr="00B7478A" w14:paraId="1CFE1B2B" w14:textId="77777777" w:rsidTr="00B7478A">
        <w:tc>
          <w:tcPr>
            <w:tcW w:w="180" w:type="dxa"/>
            <w:tcMar>
              <w:top w:w="0" w:type="dxa"/>
              <w:left w:w="180" w:type="dxa"/>
              <w:bottom w:w="0" w:type="dxa"/>
              <w:right w:w="150" w:type="dxa"/>
            </w:tcMar>
            <w:hideMark/>
          </w:tcPr>
          <w:p w14:paraId="434545EE" w14:textId="12B37314"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noProof/>
              </w:rPr>
              <w:drawing>
                <wp:inline distT="0" distB="0" distL="0" distR="0" wp14:anchorId="7AFA290B" wp14:editId="041AC991">
                  <wp:extent cx="112395" cy="146685"/>
                  <wp:effectExtent l="0" t="0" r="1905" b="5715"/>
                  <wp:docPr id="21" name="Рисунок 21" descr="C:\Users\Bondar.Al.A\AppData\Local\Microsoft\Windows\INetCache\Content.MSO\107FD8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Bondar.Al.A\AppData\Local\Microsoft\Windows\INetCache\Content.MSO\107FD80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 cy="14668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5398839E" w14:textId="77777777" w:rsidR="00B7478A" w:rsidRPr="00B7478A" w:rsidRDefault="00B7478A" w:rsidP="00B7478A">
            <w:pPr>
              <w:spacing w:after="0" w:line="240" w:lineRule="auto"/>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Федеральный закон от 11.06.2022 N 165-ФЗ</w:t>
            </w:r>
            <w:r w:rsidRPr="00B7478A">
              <w:rPr>
                <w:rFonts w:ascii="Times New Roman" w:eastAsia="Times New Roman" w:hAnsi="Times New Roman" w:cs="Times New Roman"/>
                <w:sz w:val="24"/>
                <w:szCs w:val="24"/>
                <w:lang w:eastAsia="ru-RU"/>
              </w:rPr>
              <w:br/>
              <w:t xml:space="preserve">"О внесении изменений в Жилищный кодекс Российской Федерации" </w:t>
            </w:r>
          </w:p>
        </w:tc>
      </w:tr>
    </w:tbl>
    <w:p w14:paraId="5B650122"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Также закреплена необходимость принятия решения более чем пятьюдесятью процентами голосов от общего числа голосов собственников помещений в многоквартирном доме в случае выбора способа управления таким домом и выбора управляющей организации. </w:t>
      </w:r>
    </w:p>
    <w:p w14:paraId="4CE95E40"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Кроме того, установлено, что компенсации расходов на оплату жилых помещений и коммунальных услуг гражданам могут перечисляться напрямую лицам, которые такие услуги предоставляют, например, управляющим и ресурсоснабжающим организациям, операторам по обращению с ТКО, и прочее. </w:t>
      </w:r>
    </w:p>
    <w:p w14:paraId="2FD1A27B"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Настоящий Федеральный закон вступает в силу с 1 сентября 2022 года. </w:t>
      </w:r>
    </w:p>
    <w:p w14:paraId="4CE54597"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b/>
          <w:bCs/>
          <w:sz w:val="24"/>
          <w:szCs w:val="24"/>
          <w:lang w:eastAsia="ru-RU"/>
        </w:rPr>
        <w:t>ТРУД И ЗАНЯТОСТЬ</w:t>
      </w:r>
      <w:r w:rsidRPr="00B7478A">
        <w:rPr>
          <w:rFonts w:ascii="Times New Roman" w:eastAsia="Times New Roman" w:hAnsi="Times New Roman" w:cs="Times New Roman"/>
          <w:sz w:val="24"/>
          <w:szCs w:val="24"/>
          <w:lang w:eastAsia="ru-RU"/>
        </w:rPr>
        <w:t xml:space="preserve"> </w:t>
      </w:r>
    </w:p>
    <w:p w14:paraId="12AB85B4"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b/>
          <w:bCs/>
          <w:sz w:val="24"/>
          <w:szCs w:val="24"/>
          <w:lang w:eastAsia="ru-RU"/>
        </w:rPr>
        <w:t>С 1 марта 2023 года для лиц, имеющих судимость за совершение отдельных преступлений, устанавливается запрет на управление легковыми такси и общественным транспортом</w:t>
      </w:r>
      <w:r w:rsidRPr="00B7478A">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B7478A" w:rsidRPr="00B7478A" w14:paraId="2C86F5DB" w14:textId="77777777" w:rsidTr="00B7478A">
        <w:tc>
          <w:tcPr>
            <w:tcW w:w="180" w:type="dxa"/>
            <w:tcMar>
              <w:top w:w="0" w:type="dxa"/>
              <w:left w:w="180" w:type="dxa"/>
              <w:bottom w:w="0" w:type="dxa"/>
              <w:right w:w="150" w:type="dxa"/>
            </w:tcMar>
            <w:hideMark/>
          </w:tcPr>
          <w:p w14:paraId="593507AE" w14:textId="5F461D2E"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noProof/>
              </w:rPr>
              <w:drawing>
                <wp:inline distT="0" distB="0" distL="0" distR="0" wp14:anchorId="78A429D2" wp14:editId="5D674EC7">
                  <wp:extent cx="112395" cy="146685"/>
                  <wp:effectExtent l="0" t="0" r="1905" b="5715"/>
                  <wp:docPr id="22" name="Рисунок 22" descr="C:\Users\Bondar.Al.A\AppData\Local\Microsoft\Windows\INetCache\Content.MSO\726C6B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ondar.Al.A\AppData\Local\Microsoft\Windows\INetCache\Content.MSO\726C6BF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 cy="14668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62748E60" w14:textId="77777777" w:rsidR="00B7478A" w:rsidRPr="00B7478A" w:rsidRDefault="00B7478A" w:rsidP="00B7478A">
            <w:pPr>
              <w:spacing w:after="0" w:line="240" w:lineRule="auto"/>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Федеральный закон от 11.06.2022 N 155-ФЗ</w:t>
            </w:r>
            <w:r w:rsidRPr="00B7478A">
              <w:rPr>
                <w:rFonts w:ascii="Times New Roman" w:eastAsia="Times New Roman" w:hAnsi="Times New Roman" w:cs="Times New Roman"/>
                <w:sz w:val="24"/>
                <w:szCs w:val="24"/>
                <w:lang w:eastAsia="ru-RU"/>
              </w:rPr>
              <w:br/>
              <w:t xml:space="preserve">"О внесении изменения в Трудовой кодекс Российской Федерации" </w:t>
            </w:r>
          </w:p>
        </w:tc>
      </w:tr>
    </w:tbl>
    <w:p w14:paraId="5092AB7F"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Так, закон предусматривает ограничение на осуществление перевозок пассажиров легковыми такси, автобусами, трамваями, троллейбусами и подвижным составом внеуличного транспорта лицами, имеющими неснятую или непогашенную судимость либо подвергающихся уголовному преследованию за такие преступления, как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преступления против общественной безопасности, преступления против основ конституционного строя и безопасности государства, преступления против мира и безопасности человечества, являющиеся в соответствии с УК РФ тяжкими и особо тяжкими преступлениями, а также за аналогичные преступления, предусмотренные законодательством иностранных государств - членов ЕАЭС. </w:t>
      </w:r>
    </w:p>
    <w:p w14:paraId="25CA1848"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lastRenderedPageBreak/>
        <w:t xml:space="preserve">Предусмотрено, что работодатель обязан отстранить от работы (не допускать к работе) работника при получении от правоохранительных органов сведений о том, что работник подвергается уголовному преследованию за указанные преступления. </w:t>
      </w:r>
    </w:p>
    <w:p w14:paraId="55124045"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Документом также установлена обязанность работников, осуществляющих пассажирские перевозки, до 1 сентября 2023 года представить работодателю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Работники, не являющиеся гражданами РФ и имеющие гражданство другого государства - члена ЕАЭС, наряду с такой справкой обязаны представить аналогичный документ, выданный компетентным органом соответствующего государства - члена ЕАЭС. </w:t>
      </w:r>
    </w:p>
    <w:p w14:paraId="38388729"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Трудовой договор с работником, не представившим работодателю справку (для граждан государств - членов ЕАЭС - соответствующий документ) подлежит прекращению по основанию, предусмотренному пунктом 13 части первой статьи 83 ТК РФ. </w:t>
      </w:r>
    </w:p>
    <w:p w14:paraId="6BA5FF8A"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Федеральный закон вступает в силу с 1 марта 2023 года. </w:t>
      </w:r>
    </w:p>
    <w:p w14:paraId="3DE02A21" w14:textId="1FDA5557" w:rsidR="005E5794" w:rsidRDefault="005E5794"/>
    <w:p w14:paraId="1608A61A" w14:textId="64D8EF76" w:rsidR="00B7478A" w:rsidRDefault="00B7478A"/>
    <w:p w14:paraId="71676EA9" w14:textId="2CD95542" w:rsidR="00B7478A" w:rsidRDefault="00B7478A">
      <w:proofErr w:type="spellStart"/>
      <w:r>
        <w:t>Рсо</w:t>
      </w:r>
      <w:proofErr w:type="spellEnd"/>
    </w:p>
    <w:p w14:paraId="453F6EBF" w14:textId="77777777" w:rsidR="00B7478A" w:rsidRPr="00B7478A" w:rsidRDefault="00B7478A" w:rsidP="00B7478A">
      <w:pPr>
        <w:spacing w:after="0" w:line="240" w:lineRule="auto"/>
        <w:ind w:firstLine="540"/>
        <w:jc w:val="both"/>
        <w:rPr>
          <w:rFonts w:ascii="Times New Roman" w:eastAsia="Times New Roman" w:hAnsi="Times New Roman" w:cs="Times New Roman"/>
          <w:sz w:val="24"/>
          <w:szCs w:val="24"/>
          <w:lang w:eastAsia="ru-RU"/>
        </w:rPr>
      </w:pPr>
      <w:r w:rsidRPr="00B7478A">
        <w:rPr>
          <w:rFonts w:ascii="Arial" w:eastAsia="Times New Roman" w:hAnsi="Arial" w:cs="Arial"/>
          <w:b/>
          <w:bCs/>
          <w:sz w:val="24"/>
          <w:szCs w:val="24"/>
          <w:lang w:eastAsia="ru-RU"/>
        </w:rPr>
        <w:t>ЖИЛИЩЕ</w:t>
      </w:r>
      <w:r w:rsidRPr="00B7478A">
        <w:rPr>
          <w:rFonts w:ascii="Times New Roman" w:eastAsia="Times New Roman" w:hAnsi="Times New Roman" w:cs="Times New Roman"/>
          <w:sz w:val="24"/>
          <w:szCs w:val="24"/>
          <w:lang w:eastAsia="ru-RU"/>
        </w:rPr>
        <w:t xml:space="preserve"> </w:t>
      </w:r>
    </w:p>
    <w:p w14:paraId="2D887D9D" w14:textId="77777777" w:rsidR="00B7478A" w:rsidRPr="00B7478A" w:rsidRDefault="00B7478A" w:rsidP="00B7478A">
      <w:pPr>
        <w:spacing w:after="0" w:line="240" w:lineRule="auto"/>
        <w:ind w:firstLine="540"/>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  </w:t>
      </w:r>
    </w:p>
    <w:p w14:paraId="6847BCE9"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Указ Главы Республики Северная Осетия-Алания от 26.05.2022 N 168 </w:t>
      </w:r>
    </w:p>
    <w:p w14:paraId="23271E6C"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"О порядке формирования лицензионной комиссии по лицензированию деятельности по управлению многоквартирными домами в Республике Северная Осетия-Алания" </w:t>
      </w:r>
    </w:p>
    <w:p w14:paraId="2EC6DEAA" w14:textId="77777777" w:rsidR="00B7478A" w:rsidRPr="00B7478A" w:rsidRDefault="00B7478A" w:rsidP="00B7478A">
      <w:pPr>
        <w:spacing w:after="0" w:line="240" w:lineRule="auto"/>
        <w:ind w:firstLine="540"/>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  </w:t>
      </w:r>
    </w:p>
    <w:p w14:paraId="1E58F9E6" w14:textId="77777777" w:rsidR="00B7478A" w:rsidRPr="00B7478A" w:rsidRDefault="00B7478A" w:rsidP="00B7478A">
      <w:pPr>
        <w:spacing w:after="0" w:line="240" w:lineRule="auto"/>
        <w:ind w:firstLine="540"/>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Установлен порядок формирования лицензионной комиссии по лицензированию деятельности по управлению многоквартирными домами на территории Республики Северная Осетия-Алания, определены полномочия, порядок осуществления деятельности лицензионной комиссии Республики Северная Осетия-Алания по лицензированию деятельности по управлению многоквартирными домами на территории Республики Северная Осетия-Алания, включающий в себя: требования к лицам, претендующим на включение в состав лицензионной комиссии; количество (квоту) представителей в состав лицензионной комиссии, критерии отбора лиц, претендующих на включение в состав лицензионной комиссии, в случае превышения установленных квот; порядок подачи заявлений о включении представителей в состав лицензионной комиссии с указанием срока начала и окончания приема документов; перечень оснований для отказа обратившемуся лицу во включении в состав лицензионной комиссии; порядок размещения на официальном сайте уполномоченного органа в информационно-телекоммуникационной сети "Интернет" информации о заявлениях, поданных претендентами в члены лицензионной комиссии. </w:t>
      </w:r>
    </w:p>
    <w:p w14:paraId="5677B3BC" w14:textId="77777777" w:rsidR="00B7478A" w:rsidRPr="00B7478A" w:rsidRDefault="00B7478A" w:rsidP="00B7478A">
      <w:pPr>
        <w:spacing w:after="0" w:line="240" w:lineRule="auto"/>
        <w:ind w:firstLine="540"/>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  </w:t>
      </w:r>
    </w:p>
    <w:p w14:paraId="49372291"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Постановление Правительства Республики Северная Осетия-Алания от 27.05.2022 N 237 </w:t>
      </w:r>
    </w:p>
    <w:p w14:paraId="6335E466"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"О минимальном размере взноса на капитальный ремонт общего имущества в многоквартирных домах на территории Республики Северная Осетия-Алания" </w:t>
      </w:r>
    </w:p>
    <w:p w14:paraId="25880116" w14:textId="77777777" w:rsidR="00B7478A" w:rsidRPr="00B7478A" w:rsidRDefault="00B7478A" w:rsidP="00B7478A">
      <w:pPr>
        <w:spacing w:after="0" w:line="240" w:lineRule="auto"/>
        <w:ind w:firstLine="540"/>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  </w:t>
      </w:r>
    </w:p>
    <w:p w14:paraId="6D9E6F46" w14:textId="77777777" w:rsidR="00B7478A" w:rsidRPr="00B7478A" w:rsidRDefault="00B7478A" w:rsidP="00B7478A">
      <w:pPr>
        <w:spacing w:after="0" w:line="240" w:lineRule="auto"/>
        <w:ind w:firstLine="540"/>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Утвержден минимальный размер взноса на капитальный ремонт общего имущества в многоквартирных домах на территории Республики Северная Осетия-Алания на 2023 год в размере 5,92 рубля на один квадратный метр общей площади жилья в месяц. </w:t>
      </w:r>
    </w:p>
    <w:p w14:paraId="721FB8CD" w14:textId="77777777" w:rsidR="00B7478A" w:rsidRPr="00B7478A" w:rsidRDefault="00B7478A" w:rsidP="00B7478A">
      <w:pPr>
        <w:spacing w:after="0" w:line="240" w:lineRule="auto"/>
        <w:ind w:firstLine="540"/>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  </w:t>
      </w:r>
    </w:p>
    <w:p w14:paraId="460191B9" w14:textId="77777777" w:rsidR="00B7478A" w:rsidRPr="00B7478A" w:rsidRDefault="00B7478A" w:rsidP="00B7478A">
      <w:pPr>
        <w:spacing w:after="0" w:line="240" w:lineRule="auto"/>
        <w:ind w:firstLine="540"/>
        <w:jc w:val="both"/>
        <w:rPr>
          <w:rFonts w:ascii="Times New Roman" w:eastAsia="Times New Roman" w:hAnsi="Times New Roman" w:cs="Times New Roman"/>
          <w:sz w:val="24"/>
          <w:szCs w:val="24"/>
          <w:lang w:eastAsia="ru-RU"/>
        </w:rPr>
      </w:pPr>
      <w:r w:rsidRPr="00B7478A">
        <w:rPr>
          <w:rFonts w:ascii="Arial" w:eastAsia="Times New Roman" w:hAnsi="Arial" w:cs="Arial"/>
          <w:b/>
          <w:bCs/>
          <w:sz w:val="24"/>
          <w:szCs w:val="24"/>
          <w:lang w:eastAsia="ru-RU"/>
        </w:rPr>
        <w:t>СОЦИАЛЬНОЕ ОБЕСПЕЧЕНИЕ И СОЦИАЛЬНОЕ СТРАХОВАНИЕ</w:t>
      </w:r>
      <w:r w:rsidRPr="00B7478A">
        <w:rPr>
          <w:rFonts w:ascii="Times New Roman" w:eastAsia="Times New Roman" w:hAnsi="Times New Roman" w:cs="Times New Roman"/>
          <w:sz w:val="24"/>
          <w:szCs w:val="24"/>
          <w:lang w:eastAsia="ru-RU"/>
        </w:rPr>
        <w:t xml:space="preserve"> </w:t>
      </w:r>
    </w:p>
    <w:p w14:paraId="45404CC9" w14:textId="77777777" w:rsidR="00B7478A" w:rsidRPr="00B7478A" w:rsidRDefault="00B7478A" w:rsidP="00B7478A">
      <w:pPr>
        <w:spacing w:after="0" w:line="240" w:lineRule="auto"/>
        <w:ind w:firstLine="540"/>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  </w:t>
      </w:r>
    </w:p>
    <w:p w14:paraId="4ECE880C"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Постановление Правительства Республики Северная Осетия-Алания от 27.05.2022 N 221 </w:t>
      </w:r>
    </w:p>
    <w:p w14:paraId="644603B5" w14:textId="77777777" w:rsidR="00B7478A" w:rsidRPr="00B7478A" w:rsidRDefault="00B7478A" w:rsidP="00B7478A">
      <w:pPr>
        <w:spacing w:after="0" w:line="240" w:lineRule="auto"/>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lastRenderedPageBreak/>
        <w:t xml:space="preserve">"О внесении изменений в Постановление Правительства Республики Северная Осетия-Алания от 6 августа 2019 года N 256 "Об утверждении Положения о порядке и условиях выплаты единовременного пособия на жилищное обустройство участникам государственной программы Республики Северная Осетия-Алания "Оказание содействия добровольному переселению в Российскую Федерацию соотечественников, проживающих за рубежом" на 2019 - 2023 годы" </w:t>
      </w:r>
    </w:p>
    <w:p w14:paraId="6D091E4D" w14:textId="77777777" w:rsidR="00B7478A" w:rsidRPr="00B7478A" w:rsidRDefault="00B7478A" w:rsidP="00B7478A">
      <w:pPr>
        <w:spacing w:after="0" w:line="240" w:lineRule="auto"/>
        <w:ind w:firstLine="540"/>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  </w:t>
      </w:r>
    </w:p>
    <w:p w14:paraId="11DC713A" w14:textId="77777777" w:rsidR="00B7478A" w:rsidRPr="00B7478A" w:rsidRDefault="00B7478A" w:rsidP="00B7478A">
      <w:pPr>
        <w:spacing w:after="0" w:line="240" w:lineRule="auto"/>
        <w:ind w:firstLine="540"/>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Дополнено, что Министерство труда и социального развития Республики Северная Осетия-Алания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в установленном законодательством порядке: сведения, подтверждающие постановку на учет участника Государственной программы в Министерстве внутренних дел по Республике Северная Осетия-Алания, а также сведения, подтверждающие получение разрешения на временное проживание или получение гражданства Российской Федерации участником Государственной программы. Заявитель вправе представить указанные документы по собственной инициативе. </w:t>
      </w:r>
    </w:p>
    <w:p w14:paraId="50F07E48" w14:textId="77777777" w:rsidR="00B7478A" w:rsidRPr="00B7478A" w:rsidRDefault="00B7478A" w:rsidP="00B7478A">
      <w:pPr>
        <w:spacing w:after="0" w:line="240" w:lineRule="auto"/>
        <w:ind w:firstLine="540"/>
        <w:jc w:val="both"/>
        <w:rPr>
          <w:rFonts w:ascii="Times New Roman" w:eastAsia="Times New Roman" w:hAnsi="Times New Roman" w:cs="Times New Roman"/>
          <w:sz w:val="24"/>
          <w:szCs w:val="24"/>
          <w:lang w:eastAsia="ru-RU"/>
        </w:rPr>
      </w:pPr>
      <w:r w:rsidRPr="00B7478A">
        <w:rPr>
          <w:rFonts w:ascii="Times New Roman" w:eastAsia="Times New Roman" w:hAnsi="Times New Roman" w:cs="Times New Roman"/>
          <w:sz w:val="24"/>
          <w:szCs w:val="24"/>
          <w:lang w:eastAsia="ru-RU"/>
        </w:rPr>
        <w:t xml:space="preserve">  </w:t>
      </w:r>
    </w:p>
    <w:p w14:paraId="5B1BB6B4" w14:textId="7CEAAEDA" w:rsidR="00B7478A" w:rsidRDefault="00B7478A">
      <w:r>
        <w:t>24 инфы</w:t>
      </w:r>
      <w:bookmarkStart w:id="0" w:name="_GoBack"/>
      <w:bookmarkEnd w:id="0"/>
    </w:p>
    <w:p w14:paraId="709F5AB9" w14:textId="77777777" w:rsidR="00B7478A" w:rsidRDefault="00B7478A"/>
    <w:sectPr w:rsidR="00B747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52"/>
    <w:rsid w:val="002630D7"/>
    <w:rsid w:val="00284EA5"/>
    <w:rsid w:val="005E5794"/>
    <w:rsid w:val="00B7478A"/>
    <w:rsid w:val="00B80BB2"/>
    <w:rsid w:val="00DE6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6FB0"/>
  <w15:chartTrackingRefBased/>
  <w15:docId w15:val="{7BEE282F-E1D3-4A54-9A60-81F5C1EE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6637">
      <w:bodyDiv w:val="1"/>
      <w:marLeft w:val="0"/>
      <w:marRight w:val="0"/>
      <w:marTop w:val="0"/>
      <w:marBottom w:val="0"/>
      <w:divBdr>
        <w:top w:val="none" w:sz="0" w:space="0" w:color="auto"/>
        <w:left w:val="none" w:sz="0" w:space="0" w:color="auto"/>
        <w:bottom w:val="none" w:sz="0" w:space="0" w:color="auto"/>
        <w:right w:val="none" w:sz="0" w:space="0" w:color="auto"/>
      </w:divBdr>
      <w:divsChild>
        <w:div w:id="208342223">
          <w:marLeft w:val="0"/>
          <w:marRight w:val="0"/>
          <w:marTop w:val="0"/>
          <w:marBottom w:val="0"/>
          <w:divBdr>
            <w:top w:val="none" w:sz="0" w:space="0" w:color="auto"/>
            <w:left w:val="none" w:sz="0" w:space="0" w:color="auto"/>
            <w:bottom w:val="none" w:sz="0" w:space="0" w:color="auto"/>
            <w:right w:val="none" w:sz="0" w:space="0" w:color="auto"/>
          </w:divBdr>
        </w:div>
      </w:divsChild>
    </w:div>
    <w:div w:id="147213090">
      <w:bodyDiv w:val="1"/>
      <w:marLeft w:val="0"/>
      <w:marRight w:val="0"/>
      <w:marTop w:val="0"/>
      <w:marBottom w:val="0"/>
      <w:divBdr>
        <w:top w:val="none" w:sz="0" w:space="0" w:color="auto"/>
        <w:left w:val="none" w:sz="0" w:space="0" w:color="auto"/>
        <w:bottom w:val="none" w:sz="0" w:space="0" w:color="auto"/>
        <w:right w:val="none" w:sz="0" w:space="0" w:color="auto"/>
      </w:divBdr>
      <w:divsChild>
        <w:div w:id="409696325">
          <w:marLeft w:val="0"/>
          <w:marRight w:val="0"/>
          <w:marTop w:val="0"/>
          <w:marBottom w:val="0"/>
          <w:divBdr>
            <w:top w:val="none" w:sz="0" w:space="0" w:color="auto"/>
            <w:left w:val="none" w:sz="0" w:space="0" w:color="auto"/>
            <w:bottom w:val="none" w:sz="0" w:space="0" w:color="auto"/>
            <w:right w:val="none" w:sz="0" w:space="0" w:color="auto"/>
          </w:divBdr>
        </w:div>
      </w:divsChild>
    </w:div>
    <w:div w:id="322202165">
      <w:bodyDiv w:val="1"/>
      <w:marLeft w:val="0"/>
      <w:marRight w:val="0"/>
      <w:marTop w:val="0"/>
      <w:marBottom w:val="0"/>
      <w:divBdr>
        <w:top w:val="none" w:sz="0" w:space="0" w:color="auto"/>
        <w:left w:val="none" w:sz="0" w:space="0" w:color="auto"/>
        <w:bottom w:val="none" w:sz="0" w:space="0" w:color="auto"/>
        <w:right w:val="none" w:sz="0" w:space="0" w:color="auto"/>
      </w:divBdr>
      <w:divsChild>
        <w:div w:id="54476326">
          <w:marLeft w:val="0"/>
          <w:marRight w:val="0"/>
          <w:marTop w:val="0"/>
          <w:marBottom w:val="0"/>
          <w:divBdr>
            <w:top w:val="none" w:sz="0" w:space="0" w:color="auto"/>
            <w:left w:val="none" w:sz="0" w:space="0" w:color="auto"/>
            <w:bottom w:val="none" w:sz="0" w:space="0" w:color="auto"/>
            <w:right w:val="none" w:sz="0" w:space="0" w:color="auto"/>
          </w:divBdr>
        </w:div>
      </w:divsChild>
    </w:div>
    <w:div w:id="494418660">
      <w:bodyDiv w:val="1"/>
      <w:marLeft w:val="0"/>
      <w:marRight w:val="0"/>
      <w:marTop w:val="0"/>
      <w:marBottom w:val="0"/>
      <w:divBdr>
        <w:top w:val="none" w:sz="0" w:space="0" w:color="auto"/>
        <w:left w:val="none" w:sz="0" w:space="0" w:color="auto"/>
        <w:bottom w:val="none" w:sz="0" w:space="0" w:color="auto"/>
        <w:right w:val="none" w:sz="0" w:space="0" w:color="auto"/>
      </w:divBdr>
      <w:divsChild>
        <w:div w:id="446197785">
          <w:marLeft w:val="0"/>
          <w:marRight w:val="0"/>
          <w:marTop w:val="0"/>
          <w:marBottom w:val="0"/>
          <w:divBdr>
            <w:top w:val="none" w:sz="0" w:space="0" w:color="auto"/>
            <w:left w:val="none" w:sz="0" w:space="0" w:color="auto"/>
            <w:bottom w:val="none" w:sz="0" w:space="0" w:color="auto"/>
            <w:right w:val="none" w:sz="0" w:space="0" w:color="auto"/>
          </w:divBdr>
        </w:div>
      </w:divsChild>
    </w:div>
    <w:div w:id="694040222">
      <w:bodyDiv w:val="1"/>
      <w:marLeft w:val="0"/>
      <w:marRight w:val="0"/>
      <w:marTop w:val="0"/>
      <w:marBottom w:val="0"/>
      <w:divBdr>
        <w:top w:val="none" w:sz="0" w:space="0" w:color="auto"/>
        <w:left w:val="none" w:sz="0" w:space="0" w:color="auto"/>
        <w:bottom w:val="none" w:sz="0" w:space="0" w:color="auto"/>
        <w:right w:val="none" w:sz="0" w:space="0" w:color="auto"/>
      </w:divBdr>
      <w:divsChild>
        <w:div w:id="2021275873">
          <w:marLeft w:val="0"/>
          <w:marRight w:val="0"/>
          <w:marTop w:val="0"/>
          <w:marBottom w:val="0"/>
          <w:divBdr>
            <w:top w:val="none" w:sz="0" w:space="0" w:color="auto"/>
            <w:left w:val="none" w:sz="0" w:space="0" w:color="auto"/>
            <w:bottom w:val="none" w:sz="0" w:space="0" w:color="auto"/>
            <w:right w:val="none" w:sz="0" w:space="0" w:color="auto"/>
          </w:divBdr>
        </w:div>
      </w:divsChild>
    </w:div>
    <w:div w:id="737093208">
      <w:bodyDiv w:val="1"/>
      <w:marLeft w:val="0"/>
      <w:marRight w:val="0"/>
      <w:marTop w:val="0"/>
      <w:marBottom w:val="0"/>
      <w:divBdr>
        <w:top w:val="none" w:sz="0" w:space="0" w:color="auto"/>
        <w:left w:val="none" w:sz="0" w:space="0" w:color="auto"/>
        <w:bottom w:val="none" w:sz="0" w:space="0" w:color="auto"/>
        <w:right w:val="none" w:sz="0" w:space="0" w:color="auto"/>
      </w:divBdr>
      <w:divsChild>
        <w:div w:id="1263293628">
          <w:marLeft w:val="0"/>
          <w:marRight w:val="0"/>
          <w:marTop w:val="0"/>
          <w:marBottom w:val="0"/>
          <w:divBdr>
            <w:top w:val="none" w:sz="0" w:space="0" w:color="auto"/>
            <w:left w:val="none" w:sz="0" w:space="0" w:color="auto"/>
            <w:bottom w:val="none" w:sz="0" w:space="0" w:color="auto"/>
            <w:right w:val="none" w:sz="0" w:space="0" w:color="auto"/>
          </w:divBdr>
        </w:div>
      </w:divsChild>
    </w:div>
    <w:div w:id="760372605">
      <w:bodyDiv w:val="1"/>
      <w:marLeft w:val="0"/>
      <w:marRight w:val="0"/>
      <w:marTop w:val="0"/>
      <w:marBottom w:val="0"/>
      <w:divBdr>
        <w:top w:val="none" w:sz="0" w:space="0" w:color="auto"/>
        <w:left w:val="none" w:sz="0" w:space="0" w:color="auto"/>
        <w:bottom w:val="none" w:sz="0" w:space="0" w:color="auto"/>
        <w:right w:val="none" w:sz="0" w:space="0" w:color="auto"/>
      </w:divBdr>
      <w:divsChild>
        <w:div w:id="886988689">
          <w:marLeft w:val="0"/>
          <w:marRight w:val="0"/>
          <w:marTop w:val="0"/>
          <w:marBottom w:val="0"/>
          <w:divBdr>
            <w:top w:val="none" w:sz="0" w:space="0" w:color="auto"/>
            <w:left w:val="none" w:sz="0" w:space="0" w:color="auto"/>
            <w:bottom w:val="none" w:sz="0" w:space="0" w:color="auto"/>
            <w:right w:val="none" w:sz="0" w:space="0" w:color="auto"/>
          </w:divBdr>
        </w:div>
      </w:divsChild>
    </w:div>
    <w:div w:id="827748003">
      <w:bodyDiv w:val="1"/>
      <w:marLeft w:val="0"/>
      <w:marRight w:val="0"/>
      <w:marTop w:val="0"/>
      <w:marBottom w:val="0"/>
      <w:divBdr>
        <w:top w:val="none" w:sz="0" w:space="0" w:color="auto"/>
        <w:left w:val="none" w:sz="0" w:space="0" w:color="auto"/>
        <w:bottom w:val="none" w:sz="0" w:space="0" w:color="auto"/>
        <w:right w:val="none" w:sz="0" w:space="0" w:color="auto"/>
      </w:divBdr>
      <w:divsChild>
        <w:div w:id="475997066">
          <w:marLeft w:val="0"/>
          <w:marRight w:val="0"/>
          <w:marTop w:val="0"/>
          <w:marBottom w:val="0"/>
          <w:divBdr>
            <w:top w:val="none" w:sz="0" w:space="0" w:color="auto"/>
            <w:left w:val="none" w:sz="0" w:space="0" w:color="auto"/>
            <w:bottom w:val="none" w:sz="0" w:space="0" w:color="auto"/>
            <w:right w:val="none" w:sz="0" w:space="0" w:color="auto"/>
          </w:divBdr>
        </w:div>
      </w:divsChild>
    </w:div>
    <w:div w:id="905341424">
      <w:bodyDiv w:val="1"/>
      <w:marLeft w:val="0"/>
      <w:marRight w:val="0"/>
      <w:marTop w:val="0"/>
      <w:marBottom w:val="0"/>
      <w:divBdr>
        <w:top w:val="none" w:sz="0" w:space="0" w:color="auto"/>
        <w:left w:val="none" w:sz="0" w:space="0" w:color="auto"/>
        <w:bottom w:val="none" w:sz="0" w:space="0" w:color="auto"/>
        <w:right w:val="none" w:sz="0" w:space="0" w:color="auto"/>
      </w:divBdr>
      <w:divsChild>
        <w:div w:id="1696617566">
          <w:marLeft w:val="0"/>
          <w:marRight w:val="0"/>
          <w:marTop w:val="0"/>
          <w:marBottom w:val="0"/>
          <w:divBdr>
            <w:top w:val="none" w:sz="0" w:space="0" w:color="auto"/>
            <w:left w:val="none" w:sz="0" w:space="0" w:color="auto"/>
            <w:bottom w:val="none" w:sz="0" w:space="0" w:color="auto"/>
            <w:right w:val="none" w:sz="0" w:space="0" w:color="auto"/>
          </w:divBdr>
        </w:div>
      </w:divsChild>
    </w:div>
    <w:div w:id="957762210">
      <w:bodyDiv w:val="1"/>
      <w:marLeft w:val="0"/>
      <w:marRight w:val="0"/>
      <w:marTop w:val="0"/>
      <w:marBottom w:val="0"/>
      <w:divBdr>
        <w:top w:val="none" w:sz="0" w:space="0" w:color="auto"/>
        <w:left w:val="none" w:sz="0" w:space="0" w:color="auto"/>
        <w:bottom w:val="none" w:sz="0" w:space="0" w:color="auto"/>
        <w:right w:val="none" w:sz="0" w:space="0" w:color="auto"/>
      </w:divBdr>
      <w:divsChild>
        <w:div w:id="528298473">
          <w:marLeft w:val="0"/>
          <w:marRight w:val="0"/>
          <w:marTop w:val="0"/>
          <w:marBottom w:val="0"/>
          <w:divBdr>
            <w:top w:val="none" w:sz="0" w:space="0" w:color="auto"/>
            <w:left w:val="none" w:sz="0" w:space="0" w:color="auto"/>
            <w:bottom w:val="none" w:sz="0" w:space="0" w:color="auto"/>
            <w:right w:val="none" w:sz="0" w:space="0" w:color="auto"/>
          </w:divBdr>
        </w:div>
      </w:divsChild>
    </w:div>
    <w:div w:id="984316397">
      <w:bodyDiv w:val="1"/>
      <w:marLeft w:val="0"/>
      <w:marRight w:val="0"/>
      <w:marTop w:val="0"/>
      <w:marBottom w:val="0"/>
      <w:divBdr>
        <w:top w:val="none" w:sz="0" w:space="0" w:color="auto"/>
        <w:left w:val="none" w:sz="0" w:space="0" w:color="auto"/>
        <w:bottom w:val="none" w:sz="0" w:space="0" w:color="auto"/>
        <w:right w:val="none" w:sz="0" w:space="0" w:color="auto"/>
      </w:divBdr>
      <w:divsChild>
        <w:div w:id="25639296">
          <w:marLeft w:val="0"/>
          <w:marRight w:val="0"/>
          <w:marTop w:val="0"/>
          <w:marBottom w:val="0"/>
          <w:divBdr>
            <w:top w:val="none" w:sz="0" w:space="0" w:color="auto"/>
            <w:left w:val="none" w:sz="0" w:space="0" w:color="auto"/>
            <w:bottom w:val="none" w:sz="0" w:space="0" w:color="auto"/>
            <w:right w:val="none" w:sz="0" w:space="0" w:color="auto"/>
          </w:divBdr>
        </w:div>
      </w:divsChild>
    </w:div>
    <w:div w:id="1024983503">
      <w:bodyDiv w:val="1"/>
      <w:marLeft w:val="0"/>
      <w:marRight w:val="0"/>
      <w:marTop w:val="0"/>
      <w:marBottom w:val="0"/>
      <w:divBdr>
        <w:top w:val="none" w:sz="0" w:space="0" w:color="auto"/>
        <w:left w:val="none" w:sz="0" w:space="0" w:color="auto"/>
        <w:bottom w:val="none" w:sz="0" w:space="0" w:color="auto"/>
        <w:right w:val="none" w:sz="0" w:space="0" w:color="auto"/>
      </w:divBdr>
      <w:divsChild>
        <w:div w:id="2001031647">
          <w:marLeft w:val="0"/>
          <w:marRight w:val="0"/>
          <w:marTop w:val="0"/>
          <w:marBottom w:val="0"/>
          <w:divBdr>
            <w:top w:val="none" w:sz="0" w:space="0" w:color="auto"/>
            <w:left w:val="none" w:sz="0" w:space="0" w:color="auto"/>
            <w:bottom w:val="none" w:sz="0" w:space="0" w:color="auto"/>
            <w:right w:val="none" w:sz="0" w:space="0" w:color="auto"/>
          </w:divBdr>
        </w:div>
        <w:div w:id="1196967382">
          <w:marLeft w:val="0"/>
          <w:marRight w:val="0"/>
          <w:marTop w:val="0"/>
          <w:marBottom w:val="0"/>
          <w:divBdr>
            <w:top w:val="none" w:sz="0" w:space="0" w:color="auto"/>
            <w:left w:val="none" w:sz="0" w:space="0" w:color="auto"/>
            <w:bottom w:val="none" w:sz="0" w:space="0" w:color="auto"/>
            <w:right w:val="none" w:sz="0" w:space="0" w:color="auto"/>
          </w:divBdr>
        </w:div>
      </w:divsChild>
    </w:div>
    <w:div w:id="1201628464">
      <w:bodyDiv w:val="1"/>
      <w:marLeft w:val="0"/>
      <w:marRight w:val="0"/>
      <w:marTop w:val="0"/>
      <w:marBottom w:val="0"/>
      <w:divBdr>
        <w:top w:val="none" w:sz="0" w:space="0" w:color="auto"/>
        <w:left w:val="none" w:sz="0" w:space="0" w:color="auto"/>
        <w:bottom w:val="none" w:sz="0" w:space="0" w:color="auto"/>
        <w:right w:val="none" w:sz="0" w:space="0" w:color="auto"/>
      </w:divBdr>
      <w:divsChild>
        <w:div w:id="1350991405">
          <w:marLeft w:val="0"/>
          <w:marRight w:val="0"/>
          <w:marTop w:val="0"/>
          <w:marBottom w:val="0"/>
          <w:divBdr>
            <w:top w:val="none" w:sz="0" w:space="0" w:color="auto"/>
            <w:left w:val="none" w:sz="0" w:space="0" w:color="auto"/>
            <w:bottom w:val="none" w:sz="0" w:space="0" w:color="auto"/>
            <w:right w:val="none" w:sz="0" w:space="0" w:color="auto"/>
          </w:divBdr>
        </w:div>
      </w:divsChild>
    </w:div>
    <w:div w:id="1393887179">
      <w:bodyDiv w:val="1"/>
      <w:marLeft w:val="0"/>
      <w:marRight w:val="0"/>
      <w:marTop w:val="0"/>
      <w:marBottom w:val="0"/>
      <w:divBdr>
        <w:top w:val="none" w:sz="0" w:space="0" w:color="auto"/>
        <w:left w:val="none" w:sz="0" w:space="0" w:color="auto"/>
        <w:bottom w:val="none" w:sz="0" w:space="0" w:color="auto"/>
        <w:right w:val="none" w:sz="0" w:space="0" w:color="auto"/>
      </w:divBdr>
      <w:divsChild>
        <w:div w:id="73209440">
          <w:marLeft w:val="0"/>
          <w:marRight w:val="0"/>
          <w:marTop w:val="0"/>
          <w:marBottom w:val="0"/>
          <w:divBdr>
            <w:top w:val="none" w:sz="0" w:space="0" w:color="auto"/>
            <w:left w:val="none" w:sz="0" w:space="0" w:color="auto"/>
            <w:bottom w:val="none" w:sz="0" w:space="0" w:color="auto"/>
            <w:right w:val="none" w:sz="0" w:space="0" w:color="auto"/>
          </w:divBdr>
        </w:div>
      </w:divsChild>
    </w:div>
    <w:div w:id="1452093700">
      <w:bodyDiv w:val="1"/>
      <w:marLeft w:val="0"/>
      <w:marRight w:val="0"/>
      <w:marTop w:val="0"/>
      <w:marBottom w:val="0"/>
      <w:divBdr>
        <w:top w:val="none" w:sz="0" w:space="0" w:color="auto"/>
        <w:left w:val="none" w:sz="0" w:space="0" w:color="auto"/>
        <w:bottom w:val="none" w:sz="0" w:space="0" w:color="auto"/>
        <w:right w:val="none" w:sz="0" w:space="0" w:color="auto"/>
      </w:divBdr>
      <w:divsChild>
        <w:div w:id="1591429475">
          <w:marLeft w:val="0"/>
          <w:marRight w:val="0"/>
          <w:marTop w:val="0"/>
          <w:marBottom w:val="0"/>
          <w:divBdr>
            <w:top w:val="none" w:sz="0" w:space="0" w:color="auto"/>
            <w:left w:val="none" w:sz="0" w:space="0" w:color="auto"/>
            <w:bottom w:val="none" w:sz="0" w:space="0" w:color="auto"/>
            <w:right w:val="none" w:sz="0" w:space="0" w:color="auto"/>
          </w:divBdr>
        </w:div>
      </w:divsChild>
    </w:div>
    <w:div w:id="1486363263">
      <w:bodyDiv w:val="1"/>
      <w:marLeft w:val="0"/>
      <w:marRight w:val="0"/>
      <w:marTop w:val="0"/>
      <w:marBottom w:val="0"/>
      <w:divBdr>
        <w:top w:val="none" w:sz="0" w:space="0" w:color="auto"/>
        <w:left w:val="none" w:sz="0" w:space="0" w:color="auto"/>
        <w:bottom w:val="none" w:sz="0" w:space="0" w:color="auto"/>
        <w:right w:val="none" w:sz="0" w:space="0" w:color="auto"/>
      </w:divBdr>
    </w:div>
    <w:div w:id="1519614682">
      <w:bodyDiv w:val="1"/>
      <w:marLeft w:val="0"/>
      <w:marRight w:val="0"/>
      <w:marTop w:val="0"/>
      <w:marBottom w:val="0"/>
      <w:divBdr>
        <w:top w:val="none" w:sz="0" w:space="0" w:color="auto"/>
        <w:left w:val="none" w:sz="0" w:space="0" w:color="auto"/>
        <w:bottom w:val="none" w:sz="0" w:space="0" w:color="auto"/>
        <w:right w:val="none" w:sz="0" w:space="0" w:color="auto"/>
      </w:divBdr>
      <w:divsChild>
        <w:div w:id="818572445">
          <w:marLeft w:val="0"/>
          <w:marRight w:val="0"/>
          <w:marTop w:val="0"/>
          <w:marBottom w:val="0"/>
          <w:divBdr>
            <w:top w:val="none" w:sz="0" w:space="0" w:color="auto"/>
            <w:left w:val="none" w:sz="0" w:space="0" w:color="auto"/>
            <w:bottom w:val="none" w:sz="0" w:space="0" w:color="auto"/>
            <w:right w:val="none" w:sz="0" w:space="0" w:color="auto"/>
          </w:divBdr>
        </w:div>
      </w:divsChild>
    </w:div>
    <w:div w:id="1553346109">
      <w:bodyDiv w:val="1"/>
      <w:marLeft w:val="0"/>
      <w:marRight w:val="0"/>
      <w:marTop w:val="0"/>
      <w:marBottom w:val="0"/>
      <w:divBdr>
        <w:top w:val="none" w:sz="0" w:space="0" w:color="auto"/>
        <w:left w:val="none" w:sz="0" w:space="0" w:color="auto"/>
        <w:bottom w:val="none" w:sz="0" w:space="0" w:color="auto"/>
        <w:right w:val="none" w:sz="0" w:space="0" w:color="auto"/>
      </w:divBdr>
      <w:divsChild>
        <w:div w:id="397366902">
          <w:marLeft w:val="0"/>
          <w:marRight w:val="0"/>
          <w:marTop w:val="0"/>
          <w:marBottom w:val="0"/>
          <w:divBdr>
            <w:top w:val="none" w:sz="0" w:space="0" w:color="auto"/>
            <w:left w:val="none" w:sz="0" w:space="0" w:color="auto"/>
            <w:bottom w:val="none" w:sz="0" w:space="0" w:color="auto"/>
            <w:right w:val="none" w:sz="0" w:space="0" w:color="auto"/>
          </w:divBdr>
        </w:div>
      </w:divsChild>
    </w:div>
    <w:div w:id="1581982571">
      <w:bodyDiv w:val="1"/>
      <w:marLeft w:val="0"/>
      <w:marRight w:val="0"/>
      <w:marTop w:val="0"/>
      <w:marBottom w:val="0"/>
      <w:divBdr>
        <w:top w:val="none" w:sz="0" w:space="0" w:color="auto"/>
        <w:left w:val="none" w:sz="0" w:space="0" w:color="auto"/>
        <w:bottom w:val="none" w:sz="0" w:space="0" w:color="auto"/>
        <w:right w:val="none" w:sz="0" w:space="0" w:color="auto"/>
      </w:divBdr>
      <w:divsChild>
        <w:div w:id="529924549">
          <w:marLeft w:val="0"/>
          <w:marRight w:val="0"/>
          <w:marTop w:val="0"/>
          <w:marBottom w:val="0"/>
          <w:divBdr>
            <w:top w:val="none" w:sz="0" w:space="0" w:color="auto"/>
            <w:left w:val="none" w:sz="0" w:space="0" w:color="auto"/>
            <w:bottom w:val="none" w:sz="0" w:space="0" w:color="auto"/>
            <w:right w:val="none" w:sz="0" w:space="0" w:color="auto"/>
          </w:divBdr>
        </w:div>
      </w:divsChild>
    </w:div>
    <w:div w:id="1592736245">
      <w:bodyDiv w:val="1"/>
      <w:marLeft w:val="0"/>
      <w:marRight w:val="0"/>
      <w:marTop w:val="0"/>
      <w:marBottom w:val="0"/>
      <w:divBdr>
        <w:top w:val="none" w:sz="0" w:space="0" w:color="auto"/>
        <w:left w:val="none" w:sz="0" w:space="0" w:color="auto"/>
        <w:bottom w:val="none" w:sz="0" w:space="0" w:color="auto"/>
        <w:right w:val="none" w:sz="0" w:space="0" w:color="auto"/>
      </w:divBdr>
      <w:divsChild>
        <w:div w:id="1522470832">
          <w:marLeft w:val="0"/>
          <w:marRight w:val="0"/>
          <w:marTop w:val="0"/>
          <w:marBottom w:val="0"/>
          <w:divBdr>
            <w:top w:val="none" w:sz="0" w:space="0" w:color="auto"/>
            <w:left w:val="none" w:sz="0" w:space="0" w:color="auto"/>
            <w:bottom w:val="none" w:sz="0" w:space="0" w:color="auto"/>
            <w:right w:val="none" w:sz="0" w:space="0" w:color="auto"/>
          </w:divBdr>
        </w:div>
      </w:divsChild>
    </w:div>
    <w:div w:id="1856190877">
      <w:bodyDiv w:val="1"/>
      <w:marLeft w:val="0"/>
      <w:marRight w:val="0"/>
      <w:marTop w:val="0"/>
      <w:marBottom w:val="0"/>
      <w:divBdr>
        <w:top w:val="none" w:sz="0" w:space="0" w:color="auto"/>
        <w:left w:val="none" w:sz="0" w:space="0" w:color="auto"/>
        <w:bottom w:val="none" w:sz="0" w:space="0" w:color="auto"/>
        <w:right w:val="none" w:sz="0" w:space="0" w:color="auto"/>
      </w:divBdr>
      <w:divsChild>
        <w:div w:id="1656299640">
          <w:marLeft w:val="0"/>
          <w:marRight w:val="0"/>
          <w:marTop w:val="0"/>
          <w:marBottom w:val="0"/>
          <w:divBdr>
            <w:top w:val="none" w:sz="0" w:space="0" w:color="auto"/>
            <w:left w:val="none" w:sz="0" w:space="0" w:color="auto"/>
            <w:bottom w:val="none" w:sz="0" w:space="0" w:color="auto"/>
            <w:right w:val="none" w:sz="0" w:space="0" w:color="auto"/>
          </w:divBdr>
        </w:div>
      </w:divsChild>
    </w:div>
    <w:div w:id="1885363886">
      <w:bodyDiv w:val="1"/>
      <w:marLeft w:val="0"/>
      <w:marRight w:val="0"/>
      <w:marTop w:val="0"/>
      <w:marBottom w:val="0"/>
      <w:divBdr>
        <w:top w:val="none" w:sz="0" w:space="0" w:color="auto"/>
        <w:left w:val="none" w:sz="0" w:space="0" w:color="auto"/>
        <w:bottom w:val="none" w:sz="0" w:space="0" w:color="auto"/>
        <w:right w:val="none" w:sz="0" w:space="0" w:color="auto"/>
      </w:divBdr>
      <w:divsChild>
        <w:div w:id="220600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4647</Words>
  <Characters>26491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Бондарь Алексей Александрович</dc:creator>
  <cp:keywords/>
  <dc:description/>
  <cp:lastModifiedBy>Бондарь Алексей Александрович</cp:lastModifiedBy>
  <cp:revision>3</cp:revision>
  <dcterms:created xsi:type="dcterms:W3CDTF">2022-06-29T14:31:00Z</dcterms:created>
  <dcterms:modified xsi:type="dcterms:W3CDTF">2022-06-29T15:17:00Z</dcterms:modified>
</cp:coreProperties>
</file>